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4D4929C7" w:rsidR="00687254" w:rsidRDefault="00687254" w:rsidP="00687254">
      <w:pPr>
        <w:ind w:left="360"/>
        <w:rPr>
          <w:b/>
          <w:sz w:val="24"/>
          <w:szCs w:val="24"/>
        </w:rPr>
      </w:pPr>
      <w:r w:rsidRPr="004F2656">
        <w:rPr>
          <w:b/>
          <w:sz w:val="24"/>
          <w:szCs w:val="24"/>
        </w:rPr>
        <w:t>Date</w:t>
      </w:r>
      <w:r w:rsidR="003E1BCB" w:rsidRPr="004F2656">
        <w:rPr>
          <w:b/>
          <w:sz w:val="24"/>
          <w:szCs w:val="24"/>
        </w:rPr>
        <w:t>:</w:t>
      </w:r>
      <w:r w:rsidR="00213513">
        <w:rPr>
          <w:b/>
          <w:sz w:val="24"/>
          <w:szCs w:val="24"/>
        </w:rPr>
        <w:t xml:space="preserve"> April 28, 2025</w:t>
      </w:r>
    </w:p>
    <w:p w14:paraId="1CB2C16B" w14:textId="1CF58BF8" w:rsidR="0033401E" w:rsidRPr="004F2656" w:rsidRDefault="0033401E" w:rsidP="00687254">
      <w:pPr>
        <w:ind w:left="360"/>
        <w:rPr>
          <w:b/>
          <w:sz w:val="24"/>
          <w:szCs w:val="24"/>
        </w:rPr>
      </w:pPr>
      <w:r>
        <w:rPr>
          <w:b/>
          <w:sz w:val="24"/>
          <w:szCs w:val="24"/>
        </w:rPr>
        <w:t>Grant Round:</w:t>
      </w:r>
      <w:r w:rsidR="00213513">
        <w:rPr>
          <w:b/>
          <w:sz w:val="24"/>
          <w:szCs w:val="24"/>
        </w:rPr>
        <w:t xml:space="preserve"> 25</w:t>
      </w:r>
    </w:p>
    <w:p w14:paraId="41045492" w14:textId="61EDE213"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213513">
        <w:rPr>
          <w:b/>
          <w:sz w:val="24"/>
          <w:szCs w:val="24"/>
        </w:rPr>
        <w:t xml:space="preserve"> 718</w:t>
      </w:r>
    </w:p>
    <w:p w14:paraId="65C4B013" w14:textId="2FCB02A5"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213513">
        <w:rPr>
          <w:b/>
          <w:sz w:val="24"/>
          <w:szCs w:val="24"/>
        </w:rPr>
        <w:t xml:space="preserve"> Georgia Gwinnet College</w:t>
      </w:r>
    </w:p>
    <w:p w14:paraId="28FD8E6E" w14:textId="74BF56B4" w:rsidR="0033401E" w:rsidRPr="004F2656" w:rsidRDefault="0033401E" w:rsidP="0033401E">
      <w:pPr>
        <w:ind w:left="360"/>
        <w:rPr>
          <w:b/>
          <w:sz w:val="24"/>
          <w:szCs w:val="24"/>
        </w:rPr>
      </w:pPr>
      <w:r w:rsidRPr="004F2656">
        <w:rPr>
          <w:b/>
          <w:sz w:val="24"/>
          <w:szCs w:val="24"/>
        </w:rPr>
        <w:t>Project Lead:</w:t>
      </w:r>
      <w:r w:rsidR="00213513">
        <w:rPr>
          <w:b/>
          <w:sz w:val="24"/>
          <w:szCs w:val="24"/>
        </w:rPr>
        <w:t xml:space="preserve"> Rebecca Flynn</w:t>
      </w:r>
    </w:p>
    <w:p w14:paraId="6A7C5B5B" w14:textId="29230CEE"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213513" w:rsidRPr="00213513">
        <w:rPr>
          <w:sz w:val="24"/>
          <w:szCs w:val="24"/>
        </w:rPr>
        <w:t xml:space="preserve"> </w:t>
      </w:r>
      <w:r w:rsidR="00213513">
        <w:rPr>
          <w:sz w:val="24"/>
          <w:szCs w:val="24"/>
        </w:rPr>
        <w:t xml:space="preserve">Rebecca Flynn, Professor and Assistant Chair, English, GGC: </w:t>
      </w:r>
      <w:hyperlink r:id="rId9">
        <w:r w:rsidR="00213513">
          <w:rPr>
            <w:sz w:val="24"/>
            <w:szCs w:val="24"/>
            <w:u w:val="single"/>
          </w:rPr>
          <w:t>rflynn1@ggc.edu</w:t>
        </w:r>
      </w:hyperlink>
      <w:r w:rsidR="00213513">
        <w:rPr>
          <w:sz w:val="24"/>
          <w:szCs w:val="24"/>
        </w:rPr>
        <w:t xml:space="preserve">; Stephanie Denny, Lecturer, English, GGC: </w:t>
      </w:r>
      <w:hyperlink r:id="rId10">
        <w:r w:rsidR="00213513">
          <w:rPr>
            <w:sz w:val="24"/>
            <w:szCs w:val="24"/>
            <w:u w:val="single"/>
          </w:rPr>
          <w:t>sdenny@ggc.edu</w:t>
        </w:r>
      </w:hyperlink>
      <w:r w:rsidR="00213513">
        <w:rPr>
          <w:sz w:val="24"/>
          <w:szCs w:val="24"/>
        </w:rPr>
        <w:t xml:space="preserve">; Jeanne Law, </w:t>
      </w:r>
      <w:r w:rsidR="00213513">
        <w:rPr>
          <w:sz w:val="24"/>
          <w:szCs w:val="24"/>
          <w:highlight w:val="white"/>
        </w:rPr>
        <w:t xml:space="preserve">Professor and Director of Composition, English, KSU: </w:t>
      </w:r>
      <w:hyperlink r:id="rId11">
        <w:r w:rsidR="00213513">
          <w:rPr>
            <w:sz w:val="24"/>
            <w:szCs w:val="24"/>
            <w:highlight w:val="white"/>
            <w:u w:val="single"/>
          </w:rPr>
          <w:t>jlaw29@kennesaw.edu</w:t>
        </w:r>
      </w:hyperlink>
      <w:r w:rsidR="00213513">
        <w:rPr>
          <w:sz w:val="24"/>
          <w:szCs w:val="24"/>
          <w:highlight w:val="white"/>
        </w:rPr>
        <w:t xml:space="preserve">; </w:t>
      </w:r>
      <w:r w:rsidR="00213513">
        <w:rPr>
          <w:sz w:val="24"/>
          <w:szCs w:val="24"/>
        </w:rPr>
        <w:t xml:space="preserve">Rebecca Cooper, </w:t>
      </w:r>
      <w:r w:rsidR="00213513">
        <w:rPr>
          <w:sz w:val="24"/>
          <w:szCs w:val="24"/>
          <w:highlight w:val="white"/>
        </w:rPr>
        <w:t>Professor, Curriculum and Instruction, GGC:</w:t>
      </w:r>
      <w:r w:rsidR="00213513">
        <w:rPr>
          <w:sz w:val="24"/>
          <w:szCs w:val="24"/>
        </w:rPr>
        <w:t xml:space="preserve"> </w:t>
      </w:r>
      <w:hyperlink r:id="rId12">
        <w:r w:rsidR="00213513">
          <w:rPr>
            <w:sz w:val="24"/>
            <w:szCs w:val="24"/>
            <w:u w:val="single"/>
          </w:rPr>
          <w:t>rcooper5@ggc.edu</w:t>
        </w:r>
      </w:hyperlink>
      <w:r w:rsidR="00213513">
        <w:rPr>
          <w:sz w:val="24"/>
          <w:szCs w:val="24"/>
        </w:rPr>
        <w:t>; Tom Lilly,</w:t>
      </w:r>
      <w:r w:rsidR="00213513">
        <w:rPr>
          <w:sz w:val="24"/>
          <w:szCs w:val="24"/>
          <w:highlight w:val="white"/>
        </w:rPr>
        <w:t xml:space="preserve"> Assistant Provost for Academic Assessment and Accreditation, GGC</w:t>
      </w:r>
      <w:r w:rsidR="00213513">
        <w:rPr>
          <w:sz w:val="24"/>
          <w:szCs w:val="24"/>
        </w:rPr>
        <w:t xml:space="preserve">: </w:t>
      </w:r>
      <w:hyperlink r:id="rId13">
        <w:r w:rsidR="00213513">
          <w:rPr>
            <w:sz w:val="24"/>
            <w:szCs w:val="24"/>
            <w:u w:val="single"/>
          </w:rPr>
          <w:t>tlilly@ggc.edu</w:t>
        </w:r>
      </w:hyperlink>
      <w:r w:rsidR="00213513">
        <w:rPr>
          <w:sz w:val="24"/>
          <w:szCs w:val="24"/>
        </w:rPr>
        <w:t xml:space="preserve">; Mark Partridge </w:t>
      </w:r>
      <w:r w:rsidR="00213513">
        <w:rPr>
          <w:sz w:val="24"/>
          <w:szCs w:val="24"/>
          <w:highlight w:val="white"/>
        </w:rPr>
        <w:t>Associate Professor, Economics, GGC</w:t>
      </w:r>
      <w:r w:rsidR="00213513">
        <w:rPr>
          <w:sz w:val="24"/>
          <w:szCs w:val="24"/>
        </w:rPr>
        <w:t xml:space="preserve">: </w:t>
      </w:r>
      <w:hyperlink r:id="rId14">
        <w:r w:rsidR="00213513">
          <w:rPr>
            <w:sz w:val="24"/>
            <w:szCs w:val="24"/>
            <w:u w:val="single"/>
          </w:rPr>
          <w:t>mpartridge1@ggc.edu</w:t>
        </w:r>
      </w:hyperlink>
      <w:r w:rsidR="00213513">
        <w:rPr>
          <w:sz w:val="24"/>
          <w:szCs w:val="24"/>
        </w:rPr>
        <w:t xml:space="preserve">; </w:t>
      </w:r>
      <w:r w:rsidR="00213513" w:rsidRPr="00213513">
        <w:rPr>
          <w:sz w:val="24"/>
          <w:szCs w:val="24"/>
        </w:rPr>
        <w:t>Susan Bleyle</w:t>
      </w:r>
      <w:r w:rsidR="00213513">
        <w:rPr>
          <w:sz w:val="24"/>
          <w:szCs w:val="24"/>
        </w:rPr>
        <w:t xml:space="preserve">, Professor of English, GGC: </w:t>
      </w:r>
      <w:hyperlink r:id="rId15" w:history="1">
        <w:r w:rsidR="00213513" w:rsidRPr="00C31647">
          <w:rPr>
            <w:rStyle w:val="Hyperlink"/>
            <w:sz w:val="24"/>
            <w:szCs w:val="24"/>
          </w:rPr>
          <w:t>sbleyle@ggc.edu</w:t>
        </w:r>
      </w:hyperlink>
      <w:r w:rsidR="00213513">
        <w:rPr>
          <w:sz w:val="24"/>
          <w:szCs w:val="24"/>
        </w:rPr>
        <w:t xml:space="preserve">; Mandi Sena, Instructor, English. GGC: </w:t>
      </w:r>
      <w:hyperlink r:id="rId16" w:history="1">
        <w:r w:rsidR="00213513" w:rsidRPr="00C31647">
          <w:rPr>
            <w:rStyle w:val="Hyperlink"/>
            <w:sz w:val="24"/>
            <w:szCs w:val="24"/>
          </w:rPr>
          <w:t>msena@ggc.edu</w:t>
        </w:r>
      </w:hyperlink>
      <w:r w:rsidR="00213513">
        <w:rPr>
          <w:sz w:val="24"/>
          <w:szCs w:val="24"/>
        </w:rPr>
        <w:t xml:space="preserve">; </w:t>
      </w:r>
      <w:r w:rsidR="00213513" w:rsidRPr="00213513">
        <w:rPr>
          <w:sz w:val="24"/>
          <w:szCs w:val="24"/>
        </w:rPr>
        <w:t>Sara Steger</w:t>
      </w:r>
      <w:r w:rsidR="00213513">
        <w:rPr>
          <w:sz w:val="24"/>
          <w:szCs w:val="24"/>
        </w:rPr>
        <w:t xml:space="preserve">, Senior Lecturer, </w:t>
      </w:r>
      <w:r w:rsidR="00872494">
        <w:rPr>
          <w:sz w:val="24"/>
          <w:szCs w:val="24"/>
        </w:rPr>
        <w:t xml:space="preserve">UGA: </w:t>
      </w:r>
      <w:hyperlink r:id="rId17" w:history="1">
        <w:r w:rsidR="00872494" w:rsidRPr="00C31647">
          <w:rPr>
            <w:rStyle w:val="Hyperlink"/>
            <w:sz w:val="24"/>
            <w:szCs w:val="24"/>
          </w:rPr>
          <w:t>ssteger@uga.edu</w:t>
        </w:r>
      </w:hyperlink>
      <w:r w:rsidR="00872494">
        <w:rPr>
          <w:sz w:val="24"/>
          <w:szCs w:val="24"/>
        </w:rPr>
        <w:t xml:space="preserve">; Christina Wood, Student Teaching Assistant, UGA: </w:t>
      </w:r>
      <w:r w:rsidR="00872494" w:rsidRPr="00872494">
        <w:rPr>
          <w:sz w:val="24"/>
          <w:szCs w:val="24"/>
        </w:rPr>
        <w:t>christina.wood1@uga.edu</w:t>
      </w:r>
      <w:r w:rsidR="00872494">
        <w:rPr>
          <w:sz w:val="24"/>
          <w:szCs w:val="24"/>
        </w:rPr>
        <w:t>.</w:t>
      </w:r>
    </w:p>
    <w:p w14:paraId="46A62745" w14:textId="40633FCE" w:rsidR="00DF79E1" w:rsidRPr="004F2656" w:rsidRDefault="00DF79E1" w:rsidP="00E167BE">
      <w:pPr>
        <w:ind w:left="360"/>
        <w:rPr>
          <w:b/>
          <w:sz w:val="24"/>
          <w:szCs w:val="24"/>
        </w:rPr>
      </w:pPr>
      <w:r w:rsidRPr="004F2656">
        <w:rPr>
          <w:b/>
          <w:sz w:val="24"/>
          <w:szCs w:val="24"/>
        </w:rPr>
        <w:lastRenderedPageBreak/>
        <w:t>Course Name(s) and Course Numbers</w:t>
      </w:r>
      <w:r w:rsidR="003E1BCB" w:rsidRPr="004F2656">
        <w:rPr>
          <w:b/>
          <w:sz w:val="24"/>
          <w:szCs w:val="24"/>
        </w:rPr>
        <w:t>:</w:t>
      </w:r>
      <w:r w:rsidR="00213513">
        <w:rPr>
          <w:b/>
          <w:sz w:val="24"/>
          <w:szCs w:val="24"/>
        </w:rPr>
        <w:t xml:space="preserve"> </w:t>
      </w:r>
      <w:r w:rsidR="00872494">
        <w:rPr>
          <w:b/>
          <w:sz w:val="24"/>
          <w:szCs w:val="24"/>
        </w:rPr>
        <w:t>Composition 1 ENGL 1101 and Corequisite Support English 999</w:t>
      </w:r>
    </w:p>
    <w:p w14:paraId="3E617D79" w14:textId="7450DFEC"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872494">
        <w:rPr>
          <w:b/>
          <w:sz w:val="24"/>
          <w:szCs w:val="24"/>
        </w:rPr>
        <w:t xml:space="preserve"> May 2024</w:t>
      </w:r>
    </w:p>
    <w:p w14:paraId="4D2A60B3" w14:textId="5558B4E4"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872494">
        <w:rPr>
          <w:b/>
          <w:sz w:val="24"/>
          <w:szCs w:val="24"/>
        </w:rPr>
        <w:t xml:space="preserve"> May 2025</w:t>
      </w:r>
    </w:p>
    <w:p w14:paraId="6AA64C08" w14:textId="6D07B8D6"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872494">
        <w:rPr>
          <w:b/>
          <w:sz w:val="24"/>
          <w:szCs w:val="24"/>
        </w:rPr>
        <w:t xml:space="preserve"> 880</w:t>
      </w: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3A4EC3A6" w14:textId="541FC01B" w:rsidR="00E2175C" w:rsidRPr="00E2175C" w:rsidRDefault="1899E64B" w:rsidP="00E2175C">
      <w:pPr>
        <w:rPr>
          <w:sz w:val="24"/>
          <w:szCs w:val="24"/>
        </w:rPr>
      </w:pPr>
      <w:r w:rsidRPr="1E5ABEE7">
        <w:rPr>
          <w:sz w:val="24"/>
          <w:szCs w:val="24"/>
        </w:rPr>
        <w:t xml:space="preserve">This grant project produced highly positive outcomes, while also presenting important learning opportunities. One major accomplishment was the successful creation of a standardized corequisite ENGL 1101/999 template that embeds open educational resources (OER), </w:t>
      </w:r>
      <w:r w:rsidR="4B3E829F" w:rsidRPr="1E5ABEE7">
        <w:rPr>
          <w:sz w:val="24"/>
          <w:szCs w:val="24"/>
        </w:rPr>
        <w:t>a variety of in-class activities to support student engagement,</w:t>
      </w:r>
      <w:r w:rsidRPr="1E5ABEE7">
        <w:rPr>
          <w:sz w:val="24"/>
          <w:szCs w:val="24"/>
        </w:rPr>
        <w:t xml:space="preserve"> and transparent assignment design using the </w:t>
      </w:r>
      <w:proofErr w:type="spellStart"/>
      <w:r w:rsidRPr="1E5ABEE7">
        <w:rPr>
          <w:sz w:val="24"/>
          <w:szCs w:val="24"/>
        </w:rPr>
        <w:t>TiLT</w:t>
      </w:r>
      <w:proofErr w:type="spellEnd"/>
      <w:r w:rsidRPr="1E5ABEE7">
        <w:rPr>
          <w:sz w:val="24"/>
          <w:szCs w:val="24"/>
        </w:rPr>
        <w:t xml:space="preserve"> framework. A significant challenge during the project was balancing the need for standardization with the flexibility required by a diverse group of instructors. Faculty brought a wide range of preferences and experiences to the project, which necessitated careful collaboration and communication to ensure buy-in and sticking to deadlines. We were able to collaboratively develop a high-quality, inclusive, and user-friendly template that meets both instructional and assessment goals.</w:t>
      </w:r>
    </w:p>
    <w:p w14:paraId="07C092D5" w14:textId="7EC64EFD" w:rsidR="00E2175C" w:rsidRDefault="00E2175C" w:rsidP="00E2175C">
      <w:pPr>
        <w:rPr>
          <w:sz w:val="24"/>
          <w:szCs w:val="24"/>
        </w:rPr>
      </w:pPr>
      <w:r w:rsidRPr="00E2175C">
        <w:rPr>
          <w:sz w:val="24"/>
          <w:szCs w:val="24"/>
        </w:rPr>
        <w:t xml:space="preserve">An additional challenge involved ensuring that the course materials were culturally </w:t>
      </w:r>
      <w:r>
        <w:rPr>
          <w:sz w:val="24"/>
          <w:szCs w:val="24"/>
        </w:rPr>
        <w:t>appropriate for GGC’s diverse student body.</w:t>
      </w:r>
      <w:r w:rsidRPr="00E2175C">
        <w:rPr>
          <w:sz w:val="24"/>
          <w:szCs w:val="24"/>
        </w:rPr>
        <w:t xml:space="preserve"> Selecting readings and adaptive content that authentically reflected the diversity of our students took time and sensitivity, but it ultimately enriched the course design. We also successfully addressed the urgent need for better instructional support during unexpected transitions (such as sudden faculty absences), a common problem at G</w:t>
      </w:r>
      <w:r>
        <w:rPr>
          <w:sz w:val="24"/>
          <w:szCs w:val="24"/>
        </w:rPr>
        <w:t>GC</w:t>
      </w:r>
      <w:r w:rsidRPr="00E2175C">
        <w:rPr>
          <w:sz w:val="24"/>
          <w:szCs w:val="24"/>
        </w:rPr>
        <w:t xml:space="preserve"> given our rapid growth and reliance on part-time faculty.</w:t>
      </w:r>
    </w:p>
    <w:p w14:paraId="2FD772BA" w14:textId="4009CADA" w:rsidR="00E2175C" w:rsidRDefault="1899E64B" w:rsidP="00E2175C">
      <w:pPr>
        <w:rPr>
          <w:sz w:val="24"/>
          <w:szCs w:val="24"/>
        </w:rPr>
      </w:pPr>
      <w:r w:rsidRPr="1E5ABEE7">
        <w:rPr>
          <w:sz w:val="24"/>
          <w:szCs w:val="24"/>
        </w:rPr>
        <w:t>The project had a significant impact on instructional practices. By providing a standardized course template with embedded OER</w:t>
      </w:r>
      <w:r w:rsidR="0A07FA5C" w:rsidRPr="1E5ABEE7">
        <w:rPr>
          <w:sz w:val="24"/>
          <w:szCs w:val="24"/>
        </w:rPr>
        <w:t>;</w:t>
      </w:r>
      <w:r w:rsidR="133C916F" w:rsidRPr="1E5ABEE7">
        <w:rPr>
          <w:sz w:val="24"/>
          <w:szCs w:val="24"/>
        </w:rPr>
        <w:t xml:space="preserve"> </w:t>
      </w:r>
      <w:r w:rsidR="1D5E72E2" w:rsidRPr="1E5ABEE7">
        <w:rPr>
          <w:sz w:val="24"/>
          <w:szCs w:val="24"/>
        </w:rPr>
        <w:t xml:space="preserve">a variety of activities, multimedia, and assignments; </w:t>
      </w:r>
      <w:r w:rsidR="1411F8D2" w:rsidRPr="1E5ABEE7">
        <w:rPr>
          <w:sz w:val="24"/>
          <w:szCs w:val="24"/>
        </w:rPr>
        <w:t xml:space="preserve">a </w:t>
      </w:r>
      <w:r w:rsidR="520BD340" w:rsidRPr="1E5ABEE7">
        <w:rPr>
          <w:sz w:val="24"/>
          <w:szCs w:val="24"/>
        </w:rPr>
        <w:t xml:space="preserve">detailed </w:t>
      </w:r>
      <w:r w:rsidR="1411F8D2" w:rsidRPr="1E5ABEE7">
        <w:rPr>
          <w:sz w:val="24"/>
          <w:szCs w:val="24"/>
        </w:rPr>
        <w:t>facilitator guide</w:t>
      </w:r>
      <w:r w:rsidR="27B48FED" w:rsidRPr="1E5ABEE7">
        <w:rPr>
          <w:sz w:val="24"/>
          <w:szCs w:val="24"/>
        </w:rPr>
        <w:t>;</w:t>
      </w:r>
      <w:r w:rsidR="1411F8D2" w:rsidRPr="1E5ABEE7">
        <w:rPr>
          <w:sz w:val="24"/>
          <w:szCs w:val="24"/>
        </w:rPr>
        <w:t xml:space="preserve"> and a schedule for both a 2-day and 3-day-a-week course,</w:t>
      </w:r>
      <w:r w:rsidRPr="1E5ABEE7">
        <w:rPr>
          <w:sz w:val="24"/>
          <w:szCs w:val="24"/>
        </w:rPr>
        <w:t xml:space="preserve"> faculty now have access to a ready-to-use, high-quality instructional model that maintains rigor while being accessible and inclusive. Using the </w:t>
      </w:r>
      <w:proofErr w:type="spellStart"/>
      <w:r w:rsidRPr="1E5ABEE7">
        <w:rPr>
          <w:sz w:val="24"/>
          <w:szCs w:val="24"/>
        </w:rPr>
        <w:t>TiLT</w:t>
      </w:r>
      <w:proofErr w:type="spellEnd"/>
      <w:r w:rsidRPr="1E5ABEE7">
        <w:rPr>
          <w:sz w:val="24"/>
          <w:szCs w:val="24"/>
        </w:rPr>
        <w:t xml:space="preserve"> framework to design assignments led to greater transparency, helping students understand not just what they needed to do, but why they were doing it and when it was to be completed. This shift has improved the clarity and effectiveness </w:t>
      </w:r>
      <w:r w:rsidRPr="1E5ABEE7">
        <w:rPr>
          <w:sz w:val="24"/>
          <w:szCs w:val="24"/>
        </w:rPr>
        <w:lastRenderedPageBreak/>
        <w:t xml:space="preserve">of instruction across sections of ENGL 1101/999. Faculty reported feeling better supported, particularly when they are assigned courses at the last minute or must step in for another instructor. (We had a visiting lecturer leave midway through the Fall 2024 </w:t>
      </w:r>
      <w:r w:rsidR="672F63CA" w:rsidRPr="1E5ABEE7">
        <w:rPr>
          <w:sz w:val="24"/>
          <w:szCs w:val="24"/>
        </w:rPr>
        <w:t>semester and</w:t>
      </w:r>
      <w:r w:rsidRPr="1E5ABEE7">
        <w:rPr>
          <w:sz w:val="24"/>
          <w:szCs w:val="24"/>
        </w:rPr>
        <w:t xml:space="preserve"> needed coverage for her 5 classes; having the template helped make these transitions for students as seamless as possible.)</w:t>
      </w:r>
    </w:p>
    <w:p w14:paraId="4AC26539" w14:textId="67942CBF" w:rsidR="00124093" w:rsidRPr="00124093" w:rsidRDefault="00124093" w:rsidP="00124093">
      <w:pPr>
        <w:rPr>
          <w:sz w:val="24"/>
          <w:szCs w:val="24"/>
        </w:rPr>
      </w:pPr>
      <w:r w:rsidRPr="00124093">
        <w:rPr>
          <w:sz w:val="24"/>
          <w:szCs w:val="24"/>
        </w:rPr>
        <w:t xml:space="preserve">Students have benefitted from the project's implementation. </w:t>
      </w:r>
      <w:r>
        <w:rPr>
          <w:sz w:val="24"/>
          <w:szCs w:val="24"/>
        </w:rPr>
        <w:t>By</w:t>
      </w:r>
      <w:r w:rsidRPr="00124093">
        <w:rPr>
          <w:sz w:val="24"/>
          <w:szCs w:val="24"/>
        </w:rPr>
        <w:t xml:space="preserve"> eliminating textbook costs, we achieved substantial student savings, reducing financial barriers to academic success. Early feedback and performance data suggest that students are engaging more deeply with the material, partly due to the cultural relevance of the selected texts and partly due to the improved clarity of assignment expectations.</w:t>
      </w:r>
    </w:p>
    <w:p w14:paraId="2794A4E8" w14:textId="41B376D5" w:rsidR="00124093" w:rsidRPr="00124093" w:rsidRDefault="672F63CA" w:rsidP="1E5ABEE7">
      <w:pPr>
        <w:rPr>
          <w:sz w:val="24"/>
          <w:szCs w:val="24"/>
        </w:rPr>
      </w:pPr>
      <w:r w:rsidRPr="1E5ABEE7">
        <w:rPr>
          <w:sz w:val="24"/>
          <w:szCs w:val="24"/>
        </w:rPr>
        <w:t xml:space="preserve">Moreover, the </w:t>
      </w:r>
      <w:r w:rsidR="035D6DA5" w:rsidRPr="1E5ABEE7">
        <w:rPr>
          <w:sz w:val="24"/>
          <w:szCs w:val="24"/>
        </w:rPr>
        <w:t xml:space="preserve">incorporation of a variety of group work and group discussion activities </w:t>
      </w:r>
      <w:r w:rsidR="6792F943" w:rsidRPr="1E5ABEE7">
        <w:rPr>
          <w:sz w:val="24"/>
          <w:szCs w:val="24"/>
        </w:rPr>
        <w:t xml:space="preserve">at the 1101/999 level provide more opportunities for students to consistently communicate and feel more connected to </w:t>
      </w:r>
      <w:r w:rsidR="7C5C4C15" w:rsidRPr="1E5ABEE7">
        <w:rPr>
          <w:sz w:val="24"/>
          <w:szCs w:val="24"/>
        </w:rPr>
        <w:t>GGC in general</w:t>
      </w:r>
      <w:r w:rsidR="538A0106" w:rsidRPr="1E5ABEE7">
        <w:rPr>
          <w:sz w:val="24"/>
          <w:szCs w:val="24"/>
        </w:rPr>
        <w:t>, both with each other and with their instructor</w:t>
      </w:r>
      <w:r w:rsidR="7C5C4C15" w:rsidRPr="1E5ABEE7">
        <w:rPr>
          <w:sz w:val="24"/>
          <w:szCs w:val="24"/>
        </w:rPr>
        <w:t xml:space="preserve">. </w:t>
      </w:r>
      <w:r w:rsidR="2132E4A5" w:rsidRPr="1E5ABEE7">
        <w:rPr>
          <w:sz w:val="24"/>
          <w:szCs w:val="24"/>
        </w:rPr>
        <w:t xml:space="preserve">Especially for </w:t>
      </w:r>
      <w:proofErr w:type="gramStart"/>
      <w:r w:rsidR="2132E4A5" w:rsidRPr="1E5ABEE7">
        <w:rPr>
          <w:sz w:val="24"/>
          <w:szCs w:val="24"/>
        </w:rPr>
        <w:t>first-year</w:t>
      </w:r>
      <w:proofErr w:type="gramEnd"/>
      <w:r w:rsidR="2132E4A5" w:rsidRPr="1E5ABEE7">
        <w:rPr>
          <w:sz w:val="24"/>
          <w:szCs w:val="24"/>
        </w:rPr>
        <w:t xml:space="preserve"> and first-generation students, this feeling of connectedness can have an important impact o</w:t>
      </w:r>
      <w:r w:rsidR="6D7DDD97" w:rsidRPr="1E5ABEE7">
        <w:rPr>
          <w:sz w:val="24"/>
          <w:szCs w:val="24"/>
        </w:rPr>
        <w:t>n student success.</w:t>
      </w:r>
      <w:r w:rsidR="7B82E1FA" w:rsidRPr="1E5ABEE7">
        <w:rPr>
          <w:sz w:val="24"/>
          <w:szCs w:val="24"/>
        </w:rPr>
        <w:t xml:space="preserve"> One student </w:t>
      </w:r>
      <w:r w:rsidR="0CE811B8" w:rsidRPr="1E5ABEE7">
        <w:rPr>
          <w:sz w:val="24"/>
          <w:szCs w:val="24"/>
        </w:rPr>
        <w:t xml:space="preserve">at the end of the semester </w:t>
      </w:r>
      <w:r w:rsidR="7B82E1FA" w:rsidRPr="1E5ABEE7">
        <w:rPr>
          <w:sz w:val="24"/>
          <w:szCs w:val="24"/>
        </w:rPr>
        <w:t xml:space="preserve">even commented that the class felt like a team. </w:t>
      </w:r>
    </w:p>
    <w:p w14:paraId="2DACB69F" w14:textId="15B1C0A8" w:rsidR="00124093" w:rsidRPr="00124093" w:rsidRDefault="0AFEC3E1" w:rsidP="1E5ABEE7">
      <w:pPr>
        <w:rPr>
          <w:sz w:val="24"/>
          <w:szCs w:val="24"/>
        </w:rPr>
      </w:pPr>
      <w:r w:rsidRPr="1E5ABEE7">
        <w:rPr>
          <w:sz w:val="24"/>
          <w:szCs w:val="24"/>
        </w:rPr>
        <w:t xml:space="preserve">The English 999 course also breaks </w:t>
      </w:r>
      <w:r w:rsidR="3A909D9E" w:rsidRPr="1E5ABEE7">
        <w:rPr>
          <w:sz w:val="24"/>
          <w:szCs w:val="24"/>
        </w:rPr>
        <w:t xml:space="preserve">down </w:t>
      </w:r>
      <w:r w:rsidRPr="1E5ABEE7">
        <w:rPr>
          <w:sz w:val="24"/>
          <w:szCs w:val="24"/>
        </w:rPr>
        <w:t xml:space="preserve">topics from the 1101 course in a way that causes students to work through the writing process in a </w:t>
      </w:r>
      <w:r w:rsidR="7D369F0A" w:rsidRPr="1E5ABEE7">
        <w:rPr>
          <w:sz w:val="24"/>
          <w:szCs w:val="24"/>
        </w:rPr>
        <w:t xml:space="preserve">more </w:t>
      </w:r>
      <w:r w:rsidRPr="1E5ABEE7">
        <w:rPr>
          <w:sz w:val="24"/>
          <w:szCs w:val="24"/>
        </w:rPr>
        <w:t>deliberate way</w:t>
      </w:r>
      <w:r w:rsidR="0A4B698F" w:rsidRPr="1E5ABEE7">
        <w:rPr>
          <w:sz w:val="24"/>
          <w:szCs w:val="24"/>
        </w:rPr>
        <w:t xml:space="preserve">. During </w:t>
      </w:r>
      <w:r w:rsidR="427FF51A" w:rsidRPr="1E5ABEE7">
        <w:rPr>
          <w:sz w:val="24"/>
          <w:szCs w:val="24"/>
        </w:rPr>
        <w:t xml:space="preserve">the semester, these students would often mention how the </w:t>
      </w:r>
      <w:r w:rsidR="1EF58712" w:rsidRPr="1E5ABEE7">
        <w:rPr>
          <w:sz w:val="24"/>
          <w:szCs w:val="24"/>
        </w:rPr>
        <w:t xml:space="preserve">1101 </w:t>
      </w:r>
      <w:r w:rsidR="427FF51A" w:rsidRPr="1E5ABEE7">
        <w:rPr>
          <w:sz w:val="24"/>
          <w:szCs w:val="24"/>
        </w:rPr>
        <w:t xml:space="preserve">essays felt manageable because of the way the course was organized. </w:t>
      </w:r>
    </w:p>
    <w:p w14:paraId="1EB20C55" w14:textId="3B1BBF34" w:rsidR="00124093" w:rsidRPr="00124093" w:rsidRDefault="672F63CA" w:rsidP="00124093">
      <w:pPr>
        <w:rPr>
          <w:sz w:val="24"/>
          <w:szCs w:val="24"/>
        </w:rPr>
      </w:pPr>
      <w:r w:rsidRPr="1E5ABEE7">
        <w:rPr>
          <w:sz w:val="24"/>
          <w:szCs w:val="24"/>
        </w:rPr>
        <w:t>We anticipate that, over time, the standardization of assessment models and instructional design will lead to improved pass rates and greater consistency in student learning outcomes across all sections of the course. For GGC’s diverse student body, this means more equitable opportunities for success, regardless of instructor or background.</w:t>
      </w:r>
    </w:p>
    <w:p w14:paraId="50F54E4E" w14:textId="77777777" w:rsidR="00124093" w:rsidRPr="00E2175C" w:rsidRDefault="00124093" w:rsidP="00E2175C">
      <w:pPr>
        <w:rPr>
          <w:sz w:val="24"/>
          <w:szCs w:val="24"/>
        </w:rPr>
      </w:pPr>
    </w:p>
    <w:p w14:paraId="65086D81" w14:textId="77777777" w:rsidR="00124093"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0D1B3650" w14:textId="0197C432" w:rsidR="00101A24" w:rsidRPr="00124093" w:rsidRDefault="00124093" w:rsidP="00124093">
      <w:pPr>
        <w:rPr>
          <w:sz w:val="24"/>
          <w:szCs w:val="24"/>
        </w:rPr>
      </w:pPr>
      <w:r w:rsidRPr="00124093">
        <w:rPr>
          <w:sz w:val="24"/>
          <w:szCs w:val="24"/>
        </w:rPr>
        <w:t>The experience of developing, coordinating, and implementing a pilot for English 1101</w:t>
      </w:r>
      <w:r>
        <w:rPr>
          <w:sz w:val="24"/>
          <w:szCs w:val="24"/>
        </w:rPr>
        <w:t>/999</w:t>
      </w:r>
      <w:r w:rsidRPr="00124093">
        <w:rPr>
          <w:sz w:val="24"/>
          <w:szCs w:val="24"/>
        </w:rPr>
        <w:t xml:space="preserve"> was overall a smooth process. </w:t>
      </w:r>
      <w:r w:rsidR="792655A0" w:rsidRPr="31D2B011">
        <w:rPr>
          <w:sz w:val="24"/>
          <w:szCs w:val="24"/>
        </w:rPr>
        <w:t>The participating</w:t>
      </w:r>
      <w:r w:rsidRPr="00124093">
        <w:rPr>
          <w:sz w:val="24"/>
          <w:szCs w:val="24"/>
        </w:rPr>
        <w:t xml:space="preserve"> faculty were overall responsible </w:t>
      </w:r>
      <w:r w:rsidR="5E5199DB" w:rsidRPr="31D2B011">
        <w:rPr>
          <w:sz w:val="24"/>
          <w:szCs w:val="24"/>
        </w:rPr>
        <w:t>for</w:t>
      </w:r>
      <w:r w:rsidRPr="00124093">
        <w:rPr>
          <w:sz w:val="24"/>
          <w:szCs w:val="24"/>
        </w:rPr>
        <w:t xml:space="preserve"> the tasks they were assigned, and they were also fully engaged when it came to the assessment process. </w:t>
      </w:r>
      <w:r w:rsidR="00101A24" w:rsidRPr="00124093">
        <w:rPr>
          <w:sz w:val="24"/>
          <w:szCs w:val="24"/>
        </w:rPr>
        <w:t xml:space="preserve"> </w:t>
      </w:r>
      <w:r>
        <w:rPr>
          <w:sz w:val="24"/>
          <w:szCs w:val="24"/>
        </w:rPr>
        <w:t>One complication we encountered was the lack of participation in the pilot from the seasoned support (ENGL 999) faculty who did not want to participate in the grant or the pilot. This was frustrating for us because we had so much success with the first ENGL 1101 pilot and thought this initiative would improve student experience and pass rates. Consequently, our pilot was smaller than we would have liked. Still, we were happy with the outcomes. For our next grant, we are working with ENGL 1102 faculty who seem to be more open to testing out the pilot for Fall 2025. Also, we are now requiring those who decide not to participate in the pilot to still participate by being members of the control group.</w:t>
      </w:r>
    </w:p>
    <w:p w14:paraId="16BA89AD" w14:textId="41B51952" w:rsidR="266902F4" w:rsidRDefault="266902F4" w:rsidP="31D2B011">
      <w:pPr>
        <w:rPr>
          <w:sz w:val="24"/>
          <w:szCs w:val="24"/>
        </w:rPr>
      </w:pPr>
      <w:r w:rsidRPr="31D2B011">
        <w:rPr>
          <w:sz w:val="24"/>
          <w:szCs w:val="24"/>
        </w:rPr>
        <w:lastRenderedPageBreak/>
        <w:t>Feedback from Instructors</w:t>
      </w:r>
      <w:r w:rsidR="43E777A3" w:rsidRPr="31D2B011">
        <w:rPr>
          <w:sz w:val="24"/>
          <w:szCs w:val="24"/>
        </w:rPr>
        <w:t xml:space="preserve"> teaching the pilot:</w:t>
      </w:r>
    </w:p>
    <w:p w14:paraId="6637F3FC" w14:textId="70DA5E30" w:rsidR="43E777A3" w:rsidRDefault="43E777A3" w:rsidP="31D2B011">
      <w:pPr>
        <w:pStyle w:val="ListParagraph"/>
        <w:numPr>
          <w:ilvl w:val="0"/>
          <w:numId w:val="26"/>
        </w:numPr>
        <w:spacing w:before="240" w:after="240"/>
        <w:rPr>
          <w:rFonts w:ascii="Calibri" w:eastAsia="Calibri" w:hAnsi="Calibri" w:cs="Calibri"/>
          <w:sz w:val="24"/>
          <w:szCs w:val="24"/>
        </w:rPr>
      </w:pPr>
      <w:r w:rsidRPr="31D2B011">
        <w:rPr>
          <w:rFonts w:ascii="Calibri" w:eastAsia="Calibri" w:hAnsi="Calibri" w:cs="Calibri"/>
          <w:sz w:val="24"/>
          <w:szCs w:val="24"/>
        </w:rPr>
        <w:t>Grammar Diagnostic and Instructional Support:</w:t>
      </w:r>
    </w:p>
    <w:p w14:paraId="3EB9DA5C" w14:textId="2462A8D2"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The current grammar diagnostic includes errors and unclear sentence structures, which undermines its usefulness as a diagnostic tool.</w:t>
      </w:r>
    </w:p>
    <w:p w14:paraId="5CD60461" w14:textId="3F5B6A94"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There is insufficient ready-to-use grammar practice embedded in the course prior to scheduled quizzes, limiting opportunities for scaffolded grammar instruction.</w:t>
      </w:r>
    </w:p>
    <w:p w14:paraId="2843E8A9" w14:textId="57CD61D3" w:rsidR="43E777A3" w:rsidRDefault="43E777A3" w:rsidP="31D2B011">
      <w:pPr>
        <w:spacing w:before="240" w:after="240"/>
        <w:rPr>
          <w:rFonts w:ascii="Calibri" w:eastAsia="Calibri" w:hAnsi="Calibri" w:cs="Calibri"/>
          <w:sz w:val="24"/>
          <w:szCs w:val="24"/>
        </w:rPr>
      </w:pPr>
      <w:r w:rsidRPr="31D2B011">
        <w:rPr>
          <w:rFonts w:ascii="Calibri" w:eastAsia="Calibri" w:hAnsi="Calibri" w:cs="Calibri"/>
          <w:sz w:val="24"/>
          <w:szCs w:val="24"/>
        </w:rPr>
        <w:t>Recommendation: Revise the grammar diagnostic for clarity and accuracy. Develop and incorporate more grammar practice exercises aligned with quiz content to ensure consistent support.</w:t>
      </w:r>
    </w:p>
    <w:p w14:paraId="65BE6864" w14:textId="7DB3CA01" w:rsidR="43E777A3" w:rsidRDefault="43E777A3" w:rsidP="31D2B011">
      <w:pPr>
        <w:pStyle w:val="ListParagraph"/>
        <w:numPr>
          <w:ilvl w:val="0"/>
          <w:numId w:val="26"/>
        </w:numPr>
        <w:spacing w:before="240" w:after="240"/>
        <w:rPr>
          <w:rFonts w:ascii="Calibri" w:eastAsia="Calibri" w:hAnsi="Calibri" w:cs="Calibri"/>
          <w:sz w:val="24"/>
          <w:szCs w:val="24"/>
        </w:rPr>
      </w:pPr>
      <w:r w:rsidRPr="31D2B011">
        <w:rPr>
          <w:rFonts w:ascii="Calibri" w:eastAsia="Calibri" w:hAnsi="Calibri" w:cs="Calibri"/>
          <w:sz w:val="24"/>
          <w:szCs w:val="24"/>
        </w:rPr>
        <w:t>Course Structure and Flexibility:</w:t>
      </w:r>
    </w:p>
    <w:p w14:paraId="31981473" w14:textId="1D27C09D"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The modular structure—organized by week—makes it difficult to adapt the course mid-semester without making time-consuming changes across module overviews, checklists, and content links.</w:t>
      </w:r>
    </w:p>
    <w:p w14:paraId="3C7F0BF0" w14:textId="674BEE3A"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The instructor suggested a topic-based structure (e.g., a "Literacy Narrative" folder) could improve ease of use and allow instructors to pace the course more responsively.</w:t>
      </w:r>
    </w:p>
    <w:p w14:paraId="6F835755" w14:textId="426F8CC1" w:rsidR="43E777A3" w:rsidRDefault="43E777A3" w:rsidP="31D2B011">
      <w:pPr>
        <w:spacing w:before="240" w:after="240"/>
        <w:rPr>
          <w:rFonts w:ascii="Calibri" w:eastAsia="Calibri" w:hAnsi="Calibri" w:cs="Calibri"/>
          <w:sz w:val="24"/>
          <w:szCs w:val="24"/>
        </w:rPr>
      </w:pPr>
      <w:r w:rsidRPr="31D2B011">
        <w:rPr>
          <w:rFonts w:ascii="Calibri" w:eastAsia="Calibri" w:hAnsi="Calibri" w:cs="Calibri"/>
          <w:sz w:val="24"/>
          <w:szCs w:val="24"/>
        </w:rPr>
        <w:t xml:space="preserve">Recommendation: Offer instructors a topic-organized version of the course shell as an </w:t>
      </w:r>
      <w:proofErr w:type="gramStart"/>
      <w:r w:rsidRPr="31D2B011">
        <w:rPr>
          <w:rFonts w:ascii="Calibri" w:eastAsia="Calibri" w:hAnsi="Calibri" w:cs="Calibri"/>
          <w:sz w:val="24"/>
          <w:szCs w:val="24"/>
        </w:rPr>
        <w:t>alternative, or</w:t>
      </w:r>
      <w:proofErr w:type="gramEnd"/>
      <w:r w:rsidRPr="31D2B011">
        <w:rPr>
          <w:rFonts w:ascii="Calibri" w:eastAsia="Calibri" w:hAnsi="Calibri" w:cs="Calibri"/>
          <w:sz w:val="24"/>
          <w:szCs w:val="24"/>
        </w:rPr>
        <w:t xml:space="preserve"> provide templates that allow easier restructuring without breaking navigation.</w:t>
      </w:r>
    </w:p>
    <w:p w14:paraId="53F4CF03" w14:textId="7D4B9A66" w:rsidR="43E777A3" w:rsidRDefault="43E777A3" w:rsidP="31D2B011">
      <w:pPr>
        <w:pStyle w:val="ListParagraph"/>
        <w:numPr>
          <w:ilvl w:val="0"/>
          <w:numId w:val="26"/>
        </w:numPr>
        <w:spacing w:before="240" w:after="240"/>
        <w:rPr>
          <w:rFonts w:ascii="Calibri" w:eastAsia="Calibri" w:hAnsi="Calibri" w:cs="Calibri"/>
          <w:sz w:val="24"/>
          <w:szCs w:val="24"/>
        </w:rPr>
      </w:pPr>
      <w:r w:rsidRPr="31D2B011">
        <w:rPr>
          <w:rFonts w:ascii="Calibri" w:eastAsia="Calibri" w:hAnsi="Calibri" w:cs="Calibri"/>
          <w:sz w:val="24"/>
          <w:szCs w:val="24"/>
        </w:rPr>
        <w:t>Student Engagement and Attendance Challenges:</w:t>
      </w:r>
    </w:p>
    <w:p w14:paraId="19050072" w14:textId="7590BDEA"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Sporadic student attendance in ENGL 0999 continues to be a significant barrier to instructional pacing. Some students do not attend until the fourth or fifth class meeting.</w:t>
      </w:r>
    </w:p>
    <w:p w14:paraId="5CC5F2BF" w14:textId="52EA5438"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Reintegration of students who miss multiple classes consumes instructional time and disrupts the planned schedule, even though the course content itself is strong.</w:t>
      </w:r>
    </w:p>
    <w:p w14:paraId="7F64A5CA" w14:textId="1CE64655" w:rsidR="43E777A3" w:rsidRDefault="43E777A3" w:rsidP="31D2B011">
      <w:pPr>
        <w:spacing w:before="240" w:after="240"/>
        <w:rPr>
          <w:rFonts w:ascii="Calibri" w:eastAsia="Calibri" w:hAnsi="Calibri" w:cs="Calibri"/>
          <w:sz w:val="24"/>
          <w:szCs w:val="24"/>
        </w:rPr>
      </w:pPr>
      <w:r w:rsidRPr="31D2B011">
        <w:rPr>
          <w:rFonts w:ascii="Calibri" w:eastAsia="Calibri" w:hAnsi="Calibri" w:cs="Calibri"/>
          <w:sz w:val="24"/>
          <w:szCs w:val="24"/>
        </w:rPr>
        <w:t>Recommendation: Develop resources or protocols specifically for reintegrating late-start or inconsistent attendees. Consider early alerts or onboarding tools tailored for Segue students in the first weeks.</w:t>
      </w:r>
    </w:p>
    <w:p w14:paraId="54FEADA2" w14:textId="7F5F6F58" w:rsidR="43E777A3" w:rsidRDefault="43E777A3" w:rsidP="31D2B011">
      <w:pPr>
        <w:pStyle w:val="ListParagraph"/>
        <w:numPr>
          <w:ilvl w:val="0"/>
          <w:numId w:val="26"/>
        </w:numPr>
        <w:spacing w:before="240" w:after="240"/>
        <w:rPr>
          <w:rFonts w:ascii="Calibri" w:eastAsia="Calibri" w:hAnsi="Calibri" w:cs="Calibri"/>
          <w:sz w:val="24"/>
          <w:szCs w:val="24"/>
        </w:rPr>
      </w:pPr>
      <w:r w:rsidRPr="31D2B011">
        <w:rPr>
          <w:rFonts w:ascii="Calibri" w:eastAsia="Calibri" w:hAnsi="Calibri" w:cs="Calibri"/>
          <w:sz w:val="24"/>
          <w:szCs w:val="24"/>
        </w:rPr>
        <w:t>Course Page Navigation and Integration:</w:t>
      </w:r>
    </w:p>
    <w:p w14:paraId="72118B9B" w14:textId="3ED169D5"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t>Students frequently struggled with toggling between separate D2L course pages for ENGL 0999 and ENGL 1101, leading to confusion about where to access assignments.</w:t>
      </w:r>
    </w:p>
    <w:p w14:paraId="0EA1C7A0" w14:textId="55A91AB1" w:rsidR="43E777A3" w:rsidRDefault="43E777A3" w:rsidP="31D2B011">
      <w:pPr>
        <w:pStyle w:val="ListParagraph"/>
        <w:numPr>
          <w:ilvl w:val="1"/>
          <w:numId w:val="26"/>
        </w:numPr>
        <w:spacing w:before="240" w:after="240"/>
        <w:rPr>
          <w:rFonts w:ascii="Calibri" w:eastAsia="Calibri" w:hAnsi="Calibri" w:cs="Calibri"/>
          <w:sz w:val="24"/>
          <w:szCs w:val="24"/>
        </w:rPr>
      </w:pPr>
      <w:r w:rsidRPr="31D2B011">
        <w:rPr>
          <w:rFonts w:ascii="Calibri" w:eastAsia="Calibri" w:hAnsi="Calibri" w:cs="Calibri"/>
          <w:sz w:val="24"/>
          <w:szCs w:val="24"/>
        </w:rPr>
        <w:lastRenderedPageBreak/>
        <w:t>The instructor recommends the option to integrate both courses into a single D2L shell, where appropriate, to streamline student experience and reduce repeated instructional reminders.</w:t>
      </w:r>
    </w:p>
    <w:p w14:paraId="6578869C" w14:textId="35134BF9" w:rsidR="43E777A3" w:rsidRDefault="43E777A3" w:rsidP="31D2B011">
      <w:pPr>
        <w:spacing w:before="240" w:after="240"/>
      </w:pPr>
      <w:r w:rsidRPr="31D2B011">
        <w:rPr>
          <w:rFonts w:ascii="Calibri" w:eastAsia="Calibri" w:hAnsi="Calibri" w:cs="Calibri"/>
          <w:sz w:val="24"/>
          <w:szCs w:val="24"/>
        </w:rPr>
        <w:t>Recommendation: Explore the feasibility of offering a combined D2L course shell for co-requisite ENGL 0999/1101 sections. Provide best practices for managing integrated digital classrooms.</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8"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6250AA13" w14:textId="77777777" w:rsidR="00124093" w:rsidRDefault="00124093" w:rsidP="00124093">
      <w:pPr>
        <w:pBdr>
          <w:top w:val="nil"/>
          <w:left w:val="nil"/>
          <w:bottom w:val="nil"/>
          <w:right w:val="nil"/>
          <w:between w:val="nil"/>
        </w:pBdr>
        <w:rPr>
          <w:sz w:val="24"/>
          <w:szCs w:val="24"/>
        </w:rPr>
      </w:pPr>
      <w:r>
        <w:rPr>
          <w:sz w:val="24"/>
          <w:szCs w:val="24"/>
        </w:rPr>
        <w:t>Some of the materials for this course that we developed include:</w:t>
      </w:r>
    </w:p>
    <w:p w14:paraId="4B9986F3" w14:textId="77777777" w:rsidR="00124093" w:rsidRDefault="00124093" w:rsidP="00124093">
      <w:pPr>
        <w:numPr>
          <w:ilvl w:val="0"/>
          <w:numId w:val="20"/>
        </w:numPr>
        <w:pBdr>
          <w:top w:val="nil"/>
          <w:left w:val="nil"/>
          <w:bottom w:val="nil"/>
          <w:right w:val="nil"/>
          <w:between w:val="nil"/>
        </w:pBdr>
        <w:spacing w:after="0"/>
        <w:rPr>
          <w:sz w:val="24"/>
          <w:szCs w:val="24"/>
        </w:rPr>
      </w:pPr>
      <w:r>
        <w:rPr>
          <w:sz w:val="24"/>
          <w:szCs w:val="24"/>
        </w:rPr>
        <w:t>A facilitator guide that provides week-by-week lecture and discussion ideas, including terms that may need defining for students, questions about the readings, and important reminders to share with students.</w:t>
      </w:r>
    </w:p>
    <w:p w14:paraId="5BDAEF45" w14:textId="77777777" w:rsidR="00124093" w:rsidRDefault="00124093" w:rsidP="00124093">
      <w:pPr>
        <w:numPr>
          <w:ilvl w:val="0"/>
          <w:numId w:val="20"/>
        </w:numPr>
        <w:pBdr>
          <w:top w:val="nil"/>
          <w:left w:val="nil"/>
          <w:bottom w:val="nil"/>
          <w:right w:val="nil"/>
          <w:between w:val="nil"/>
        </w:pBdr>
        <w:spacing w:after="0"/>
        <w:rPr>
          <w:sz w:val="24"/>
          <w:szCs w:val="24"/>
        </w:rPr>
      </w:pPr>
      <w:r>
        <w:rPr>
          <w:sz w:val="24"/>
          <w:szCs w:val="24"/>
        </w:rPr>
        <w:t>Essay assignments that follow the TILT framework and have associated rubric and peer review questions.</w:t>
      </w:r>
    </w:p>
    <w:p w14:paraId="7919FF7B" w14:textId="77777777" w:rsidR="00124093" w:rsidRDefault="672F63CA" w:rsidP="1E5ABEE7">
      <w:pPr>
        <w:numPr>
          <w:ilvl w:val="0"/>
          <w:numId w:val="20"/>
        </w:numPr>
        <w:pBdr>
          <w:top w:val="nil"/>
          <w:left w:val="nil"/>
          <w:bottom w:val="nil"/>
          <w:right w:val="nil"/>
          <w:between w:val="nil"/>
        </w:pBdr>
        <w:spacing w:after="0"/>
        <w:rPr>
          <w:sz w:val="24"/>
          <w:szCs w:val="24"/>
        </w:rPr>
      </w:pPr>
      <w:r w:rsidRPr="1E5ABEE7">
        <w:rPr>
          <w:sz w:val="24"/>
          <w:szCs w:val="24"/>
        </w:rPr>
        <w:t>Resources, activities, and additional assignments that align with course objectives, speak to our diverse student body, and meet accessibility standards.</w:t>
      </w:r>
    </w:p>
    <w:p w14:paraId="0768771C" w14:textId="7C5F2C3E" w:rsidR="764FDB2A" w:rsidRDefault="764FDB2A" w:rsidP="1E5ABEE7">
      <w:pPr>
        <w:numPr>
          <w:ilvl w:val="0"/>
          <w:numId w:val="20"/>
        </w:numPr>
        <w:pBdr>
          <w:top w:val="nil"/>
          <w:left w:val="nil"/>
          <w:bottom w:val="nil"/>
          <w:right w:val="nil"/>
          <w:between w:val="nil"/>
        </w:pBdr>
        <w:spacing w:after="0"/>
        <w:rPr>
          <w:sz w:val="24"/>
          <w:szCs w:val="24"/>
        </w:rPr>
      </w:pPr>
      <w:r w:rsidRPr="1E5ABEE7">
        <w:rPr>
          <w:sz w:val="24"/>
          <w:szCs w:val="24"/>
        </w:rPr>
        <w:t xml:space="preserve">Friday journal assignments that ask students to either reflect on their </w:t>
      </w:r>
      <w:r w:rsidR="74B0D5D8" w:rsidRPr="1E5ABEE7">
        <w:rPr>
          <w:sz w:val="24"/>
          <w:szCs w:val="24"/>
        </w:rPr>
        <w:t>work</w:t>
      </w:r>
      <w:r w:rsidRPr="1E5ABEE7">
        <w:rPr>
          <w:sz w:val="24"/>
          <w:szCs w:val="24"/>
        </w:rPr>
        <w:t xml:space="preserve"> or a topic or apply what they have learned</w:t>
      </w:r>
      <w:r w:rsidR="7E028A38" w:rsidRPr="1E5ABEE7">
        <w:rPr>
          <w:sz w:val="24"/>
          <w:szCs w:val="24"/>
        </w:rPr>
        <w:t xml:space="preserve"> in class that week.</w:t>
      </w:r>
    </w:p>
    <w:p w14:paraId="756B1495" w14:textId="77777777" w:rsidR="00124093" w:rsidRDefault="00124093" w:rsidP="00124093">
      <w:pPr>
        <w:numPr>
          <w:ilvl w:val="0"/>
          <w:numId w:val="20"/>
        </w:numPr>
        <w:pBdr>
          <w:top w:val="nil"/>
          <w:left w:val="nil"/>
          <w:bottom w:val="nil"/>
          <w:right w:val="nil"/>
          <w:between w:val="nil"/>
        </w:pBdr>
        <w:rPr>
          <w:sz w:val="24"/>
          <w:szCs w:val="24"/>
        </w:rPr>
      </w:pPr>
      <w:r>
        <w:rPr>
          <w:sz w:val="24"/>
          <w:szCs w:val="24"/>
        </w:rPr>
        <w:t>A syllabus and schedule that can be adapted by faculty as needed.</w:t>
      </w:r>
    </w:p>
    <w:p w14:paraId="28017E8F" w14:textId="77777777" w:rsidR="00124093" w:rsidRDefault="00124093" w:rsidP="00124093">
      <w:pPr>
        <w:pBdr>
          <w:top w:val="nil"/>
          <w:left w:val="nil"/>
          <w:bottom w:val="nil"/>
          <w:right w:val="nil"/>
          <w:between w:val="nil"/>
        </w:pBdr>
        <w:rPr>
          <w:sz w:val="24"/>
          <w:szCs w:val="24"/>
        </w:rPr>
      </w:pPr>
      <w:r>
        <w:rPr>
          <w:sz w:val="24"/>
          <w:szCs w:val="24"/>
        </w:rPr>
        <w:t>We also revised/remixed materials from Kennesaw State University’s English 1101 Composition course that they created as part of a previous ALG Transformation grant. Our attribution license is CC BY-SA.</w:t>
      </w:r>
    </w:p>
    <w:p w14:paraId="018E5BA5" w14:textId="5C60F31D" w:rsidR="00124093" w:rsidRPr="00124093" w:rsidRDefault="00124093" w:rsidP="00124093">
      <w:pPr>
        <w:rPr>
          <w:sz w:val="24"/>
          <w:szCs w:val="24"/>
        </w:rPr>
      </w:pPr>
      <w:r>
        <w:rPr>
          <w:b/>
          <w:sz w:val="24"/>
          <w:szCs w:val="24"/>
        </w:rPr>
        <w:t xml:space="preserve">Link to </w:t>
      </w:r>
      <w:proofErr w:type="spellStart"/>
      <w:r>
        <w:rPr>
          <w:b/>
          <w:sz w:val="24"/>
          <w:szCs w:val="24"/>
        </w:rPr>
        <w:t>SoftChalk</w:t>
      </w:r>
      <w:proofErr w:type="spellEnd"/>
      <w:r>
        <w:rPr>
          <w:b/>
          <w:sz w:val="24"/>
          <w:szCs w:val="24"/>
        </w:rPr>
        <w:t xml:space="preserve"> course materials:</w:t>
      </w: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Pr="003F4D85"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1EA6DB7B" w14:textId="7B9CA595" w:rsidR="30A4A40A" w:rsidRDefault="30A4A40A" w:rsidP="31D2B011">
      <w:pPr>
        <w:ind w:left="360"/>
        <w:rPr>
          <w:i/>
          <w:iCs/>
          <w:sz w:val="24"/>
          <w:szCs w:val="24"/>
        </w:rPr>
      </w:pPr>
      <w:r w:rsidRPr="31D2B011">
        <w:rPr>
          <w:i/>
          <w:iCs/>
          <w:sz w:val="24"/>
          <w:szCs w:val="24"/>
        </w:rPr>
        <w:t>Quotes</w:t>
      </w:r>
      <w:r w:rsidR="1B084A02" w:rsidRPr="31D2B011">
        <w:rPr>
          <w:i/>
          <w:iCs/>
          <w:sz w:val="24"/>
          <w:szCs w:val="24"/>
        </w:rPr>
        <w:t xml:space="preserve"> from Students: </w:t>
      </w:r>
    </w:p>
    <w:p w14:paraId="260AD5FF" w14:textId="62D5882C" w:rsidR="5044B32C" w:rsidRDefault="5044B32C" w:rsidP="31D2B011">
      <w:pPr>
        <w:ind w:left="360"/>
      </w:pPr>
      <w:r w:rsidRPr="31D2B011">
        <w:rPr>
          <w:rFonts w:ascii="Calibri" w:eastAsia="Calibri" w:hAnsi="Calibri" w:cs="Calibri"/>
          <w:sz w:val="24"/>
          <w:szCs w:val="24"/>
        </w:rPr>
        <w:t>“What I found most helpful about the course were the practice writing and journals.”</w:t>
      </w:r>
    </w:p>
    <w:p w14:paraId="4A6F181A" w14:textId="11B76A8D" w:rsidR="5044B32C" w:rsidRDefault="5044B32C" w:rsidP="31D2B011">
      <w:pPr>
        <w:ind w:left="360"/>
      </w:pPr>
      <w:r w:rsidRPr="31D2B011">
        <w:rPr>
          <w:rFonts w:ascii="Calibri" w:eastAsia="Calibri" w:hAnsi="Calibri" w:cs="Calibri"/>
          <w:sz w:val="24"/>
          <w:szCs w:val="24"/>
        </w:rPr>
        <w:t>“The course is very well organized.”</w:t>
      </w:r>
    </w:p>
    <w:p w14:paraId="6BC1538A" w14:textId="1F0A107D" w:rsidR="5044B32C" w:rsidRDefault="5044B32C" w:rsidP="31D2B011">
      <w:pPr>
        <w:ind w:left="360"/>
      </w:pPr>
      <w:r w:rsidRPr="31D2B011">
        <w:rPr>
          <w:rFonts w:ascii="Calibri" w:eastAsia="Calibri" w:hAnsi="Calibri" w:cs="Calibri"/>
          <w:sz w:val="24"/>
          <w:szCs w:val="24"/>
        </w:rPr>
        <w:t>“The most helpful thing from this course is probably how easy everything was to understand.”</w:t>
      </w:r>
    </w:p>
    <w:p w14:paraId="46CF44E1" w14:textId="67500020" w:rsidR="1B084A02" w:rsidRDefault="1B084A02" w:rsidP="31D2B011">
      <w:pPr>
        <w:rPr>
          <w:i/>
          <w:iCs/>
          <w:sz w:val="24"/>
          <w:szCs w:val="24"/>
        </w:rPr>
      </w:pPr>
      <w:r w:rsidRPr="31D2B011">
        <w:rPr>
          <w:i/>
          <w:iCs/>
          <w:sz w:val="24"/>
          <w:szCs w:val="24"/>
        </w:rPr>
        <w:lastRenderedPageBreak/>
        <w:t>Positive</w:t>
      </w:r>
      <w:r w:rsidR="3AD34624" w:rsidRPr="31D2B011">
        <w:rPr>
          <w:i/>
          <w:iCs/>
          <w:sz w:val="24"/>
          <w:szCs w:val="24"/>
        </w:rPr>
        <w:t xml:space="preserve"> Feedback</w:t>
      </w:r>
      <w:r w:rsidR="4FEAAD24" w:rsidRPr="31D2B011">
        <w:rPr>
          <w:i/>
          <w:iCs/>
          <w:sz w:val="24"/>
          <w:szCs w:val="24"/>
        </w:rPr>
        <w:t>:</w:t>
      </w:r>
    </w:p>
    <w:p w14:paraId="27F76C2A" w14:textId="4831D694" w:rsidR="1B084A02" w:rsidRDefault="1B084A02" w:rsidP="31D2B011">
      <w:pPr>
        <w:pStyle w:val="ListParagraph"/>
        <w:numPr>
          <w:ilvl w:val="0"/>
          <w:numId w:val="17"/>
        </w:numPr>
        <w:rPr>
          <w:rFonts w:ascii="Calibri" w:eastAsia="Calibri" w:hAnsi="Calibri" w:cs="Calibri"/>
        </w:rPr>
      </w:pPr>
      <w:r w:rsidRPr="31D2B011">
        <w:rPr>
          <w:rFonts w:ascii="Calibri" w:eastAsia="Calibri" w:hAnsi="Calibri" w:cs="Calibri"/>
          <w:b/>
          <w:bCs/>
          <w:sz w:val="24"/>
          <w:szCs w:val="24"/>
        </w:rPr>
        <w:t>Improvement in Writing Skills</w:t>
      </w:r>
      <w:r w:rsidRPr="31D2B011">
        <w:rPr>
          <w:rFonts w:ascii="Calibri" w:eastAsia="Calibri" w:hAnsi="Calibri" w:cs="Calibri"/>
          <w:sz w:val="24"/>
          <w:szCs w:val="24"/>
        </w:rPr>
        <w:t>: Students consistently cited essay writing, grammar practice, and learning how to structure essays (e.g., thesis statements, introductions) as helpful.</w:t>
      </w:r>
    </w:p>
    <w:p w14:paraId="210C1EA3" w14:textId="338A4142" w:rsidR="1B084A02" w:rsidRDefault="1B084A02" w:rsidP="31D2B011">
      <w:pPr>
        <w:pStyle w:val="ListParagraph"/>
        <w:numPr>
          <w:ilvl w:val="0"/>
          <w:numId w:val="17"/>
        </w:numPr>
        <w:spacing w:before="240" w:after="240"/>
        <w:rPr>
          <w:rFonts w:ascii="Calibri" w:eastAsia="Calibri" w:hAnsi="Calibri" w:cs="Calibri"/>
        </w:rPr>
      </w:pPr>
      <w:r w:rsidRPr="31D2B011">
        <w:rPr>
          <w:rFonts w:ascii="Calibri" w:eastAsia="Calibri" w:hAnsi="Calibri" w:cs="Calibri"/>
          <w:b/>
          <w:bCs/>
          <w:sz w:val="24"/>
          <w:szCs w:val="24"/>
        </w:rPr>
        <w:t>Course Integration with ENGL 1101</w:t>
      </w:r>
      <w:r w:rsidRPr="31D2B011">
        <w:rPr>
          <w:rFonts w:ascii="Calibri" w:eastAsia="Calibri" w:hAnsi="Calibri" w:cs="Calibri"/>
          <w:sz w:val="24"/>
          <w:szCs w:val="24"/>
        </w:rPr>
        <w:t>: Several students appreciated how the course supported their 1101 work, especially through journal assignments and extended time to complete tasks.</w:t>
      </w:r>
    </w:p>
    <w:p w14:paraId="71B868F0" w14:textId="1CFA14BC" w:rsidR="1B084A02" w:rsidRDefault="1B084A02" w:rsidP="31D2B011">
      <w:pPr>
        <w:pStyle w:val="ListParagraph"/>
        <w:numPr>
          <w:ilvl w:val="0"/>
          <w:numId w:val="17"/>
        </w:numPr>
        <w:spacing w:before="240" w:after="240"/>
        <w:rPr>
          <w:rFonts w:ascii="Calibri" w:eastAsia="Calibri" w:hAnsi="Calibri" w:cs="Calibri"/>
        </w:rPr>
      </w:pPr>
      <w:r w:rsidRPr="31D2B011">
        <w:rPr>
          <w:rFonts w:ascii="Calibri" w:eastAsia="Calibri" w:hAnsi="Calibri" w:cs="Calibri"/>
          <w:b/>
          <w:bCs/>
          <w:sz w:val="24"/>
          <w:szCs w:val="24"/>
        </w:rPr>
        <w:t>Classroom Environment</w:t>
      </w:r>
      <w:r w:rsidRPr="31D2B011">
        <w:rPr>
          <w:rFonts w:ascii="Calibri" w:eastAsia="Calibri" w:hAnsi="Calibri" w:cs="Calibri"/>
          <w:sz w:val="24"/>
          <w:szCs w:val="24"/>
        </w:rPr>
        <w:t>: The accessible teaching style, frequent feedback, and structured assignments made students feel supported and motivated.</w:t>
      </w:r>
    </w:p>
    <w:p w14:paraId="5A634CA1" w14:textId="084D278A" w:rsidR="1B084A02" w:rsidRDefault="1B084A02" w:rsidP="31D2B011">
      <w:pPr>
        <w:pStyle w:val="ListParagraph"/>
        <w:numPr>
          <w:ilvl w:val="0"/>
          <w:numId w:val="17"/>
        </w:numPr>
        <w:spacing w:before="240" w:after="240"/>
        <w:rPr>
          <w:rFonts w:ascii="Calibri" w:eastAsia="Calibri" w:hAnsi="Calibri" w:cs="Calibri"/>
        </w:rPr>
      </w:pPr>
      <w:r w:rsidRPr="31D2B011">
        <w:rPr>
          <w:rFonts w:ascii="Calibri" w:eastAsia="Calibri" w:hAnsi="Calibri" w:cs="Calibri"/>
          <w:b/>
          <w:bCs/>
          <w:sz w:val="24"/>
          <w:szCs w:val="24"/>
        </w:rPr>
        <w:t>Resources and Materials</w:t>
      </w:r>
      <w:r w:rsidRPr="31D2B011">
        <w:rPr>
          <w:rFonts w:ascii="Calibri" w:eastAsia="Calibri" w:hAnsi="Calibri" w:cs="Calibri"/>
          <w:sz w:val="24"/>
          <w:szCs w:val="24"/>
        </w:rPr>
        <w:t>: Quizzes, writing journals, peer review, and grammar exercises were named as effective tools.</w:t>
      </w:r>
    </w:p>
    <w:p w14:paraId="71C3E62D" w14:textId="62FAFC51" w:rsidR="1B084A02" w:rsidRDefault="1B084A02" w:rsidP="31D2B011">
      <w:pPr>
        <w:rPr>
          <w:i/>
          <w:iCs/>
          <w:sz w:val="24"/>
          <w:szCs w:val="24"/>
        </w:rPr>
      </w:pPr>
      <w:r w:rsidRPr="31D2B011">
        <w:rPr>
          <w:i/>
          <w:iCs/>
          <w:sz w:val="24"/>
          <w:szCs w:val="24"/>
        </w:rPr>
        <w:t>Constructive Feedback:</w:t>
      </w:r>
    </w:p>
    <w:p w14:paraId="0B8FBE58" w14:textId="7B570BF2" w:rsidR="1B084A02" w:rsidRDefault="1B084A02" w:rsidP="31D2B011">
      <w:pPr>
        <w:pStyle w:val="ListParagraph"/>
        <w:numPr>
          <w:ilvl w:val="0"/>
          <w:numId w:val="17"/>
        </w:numPr>
        <w:spacing w:before="240" w:after="240"/>
        <w:rPr>
          <w:rFonts w:ascii="Calibri" w:eastAsia="Calibri" w:hAnsi="Calibri" w:cs="Calibri"/>
          <w:sz w:val="24"/>
          <w:szCs w:val="24"/>
        </w:rPr>
      </w:pPr>
      <w:r w:rsidRPr="31D2B011">
        <w:rPr>
          <w:rFonts w:ascii="Calibri" w:eastAsia="Calibri" w:hAnsi="Calibri" w:cs="Calibri"/>
          <w:b/>
          <w:bCs/>
          <w:sz w:val="24"/>
          <w:szCs w:val="24"/>
        </w:rPr>
        <w:t>Personal Accountability</w:t>
      </w:r>
      <w:r w:rsidRPr="31D2B011">
        <w:rPr>
          <w:rFonts w:ascii="Calibri" w:eastAsia="Calibri" w:hAnsi="Calibri" w:cs="Calibri"/>
          <w:sz w:val="24"/>
          <w:szCs w:val="24"/>
        </w:rPr>
        <w:t>: A common theme was regret about procrastination or not completing journals/quizzes on time. This suggests a need for stronger time management scaffolding.</w:t>
      </w:r>
    </w:p>
    <w:p w14:paraId="76430149" w14:textId="7E60EED1" w:rsidR="1B084A02" w:rsidRDefault="1B084A02" w:rsidP="31D2B011">
      <w:pPr>
        <w:pStyle w:val="ListParagraph"/>
        <w:numPr>
          <w:ilvl w:val="0"/>
          <w:numId w:val="17"/>
        </w:numPr>
        <w:spacing w:before="240" w:after="240"/>
        <w:rPr>
          <w:rFonts w:ascii="Calibri" w:eastAsia="Calibri" w:hAnsi="Calibri" w:cs="Calibri"/>
          <w:sz w:val="24"/>
          <w:szCs w:val="24"/>
        </w:rPr>
      </w:pPr>
      <w:r w:rsidRPr="31D2B011">
        <w:rPr>
          <w:rFonts w:ascii="Calibri" w:eastAsia="Calibri" w:hAnsi="Calibri" w:cs="Calibri"/>
          <w:b/>
          <w:bCs/>
          <w:sz w:val="24"/>
          <w:szCs w:val="24"/>
        </w:rPr>
        <w:t>Assignment Clarity</w:t>
      </w:r>
      <w:r w:rsidRPr="31D2B011">
        <w:rPr>
          <w:rFonts w:ascii="Calibri" w:eastAsia="Calibri" w:hAnsi="Calibri" w:cs="Calibri"/>
          <w:sz w:val="24"/>
          <w:szCs w:val="24"/>
        </w:rPr>
        <w:t>: A few students reported that some quizzes and assignments were confusing or needed clearer instructions.</w:t>
      </w:r>
    </w:p>
    <w:p w14:paraId="7A2077D4" w14:textId="2C9E3F9D" w:rsidR="1B084A02" w:rsidRDefault="1B084A02" w:rsidP="31D2B011">
      <w:pPr>
        <w:pStyle w:val="ListParagraph"/>
        <w:numPr>
          <w:ilvl w:val="0"/>
          <w:numId w:val="17"/>
        </w:numPr>
        <w:spacing w:before="240" w:after="240"/>
        <w:rPr>
          <w:rFonts w:ascii="Calibri" w:eastAsia="Calibri" w:hAnsi="Calibri" w:cs="Calibri"/>
          <w:sz w:val="24"/>
          <w:szCs w:val="24"/>
        </w:rPr>
      </w:pPr>
      <w:r w:rsidRPr="31D2B011">
        <w:rPr>
          <w:rFonts w:ascii="Calibri" w:eastAsia="Calibri" w:hAnsi="Calibri" w:cs="Calibri"/>
          <w:b/>
          <w:bCs/>
          <w:sz w:val="24"/>
          <w:szCs w:val="24"/>
        </w:rPr>
        <w:t>Workload Management</w:t>
      </w:r>
      <w:r w:rsidRPr="31D2B011">
        <w:rPr>
          <w:rFonts w:ascii="Calibri" w:eastAsia="Calibri" w:hAnsi="Calibri" w:cs="Calibri"/>
          <w:sz w:val="24"/>
          <w:szCs w:val="24"/>
        </w:rPr>
        <w:t>: Some students felt the course load was heavy, describing it as equivalent to taking two English classes.</w:t>
      </w:r>
    </w:p>
    <w:p w14:paraId="718B90C0" w14:textId="61EF54C8" w:rsidR="1B084A02" w:rsidRDefault="1B084A02" w:rsidP="31D2B011">
      <w:pPr>
        <w:pStyle w:val="ListParagraph"/>
        <w:numPr>
          <w:ilvl w:val="0"/>
          <w:numId w:val="17"/>
        </w:numPr>
        <w:spacing w:before="240" w:after="240"/>
        <w:rPr>
          <w:rFonts w:ascii="Calibri" w:eastAsia="Calibri" w:hAnsi="Calibri" w:cs="Calibri"/>
          <w:sz w:val="24"/>
          <w:szCs w:val="24"/>
        </w:rPr>
      </w:pPr>
      <w:r w:rsidRPr="31D2B011">
        <w:rPr>
          <w:rFonts w:ascii="Calibri" w:eastAsia="Calibri" w:hAnsi="Calibri" w:cs="Calibri"/>
          <w:b/>
          <w:bCs/>
          <w:sz w:val="24"/>
          <w:szCs w:val="24"/>
        </w:rPr>
        <w:t>D2L Navigation</w:t>
      </w:r>
      <w:r w:rsidRPr="31D2B011">
        <w:rPr>
          <w:rFonts w:ascii="Calibri" w:eastAsia="Calibri" w:hAnsi="Calibri" w:cs="Calibri"/>
          <w:sz w:val="24"/>
          <w:szCs w:val="24"/>
        </w:rPr>
        <w:t>: A few students wished the digital interface or access to assignments had been more intuitive.</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1AD8E6B8" w14:textId="775F64A1" w:rsidR="6FCD34EF" w:rsidRDefault="6FCD34EF" w:rsidP="6BCADF1E">
      <w:pPr>
        <w:spacing w:line="257" w:lineRule="auto"/>
        <w:ind w:left="1080"/>
      </w:pPr>
      <w:r w:rsidRPr="20EDD713">
        <w:rPr>
          <w:rFonts w:ascii="Calibri" w:eastAsia="Calibri" w:hAnsi="Calibri" w:cs="Calibri"/>
          <w:sz w:val="24"/>
          <w:szCs w:val="24"/>
        </w:rPr>
        <w:t>The total number of students affected by this pilot project was larger than the pilot sample, as many faculty taught with the template (or modified versions of it)</w:t>
      </w:r>
      <w:r w:rsidR="2259A9B3" w:rsidRPr="20EDD713">
        <w:rPr>
          <w:rFonts w:ascii="Calibri" w:eastAsia="Calibri" w:hAnsi="Calibri" w:cs="Calibri"/>
          <w:sz w:val="24"/>
          <w:szCs w:val="24"/>
        </w:rPr>
        <w:t xml:space="preserve"> </w:t>
      </w:r>
      <w:r w:rsidRPr="20EDD713">
        <w:rPr>
          <w:rFonts w:ascii="Calibri" w:eastAsia="Calibri" w:hAnsi="Calibri" w:cs="Calibri"/>
          <w:sz w:val="24"/>
          <w:szCs w:val="24"/>
        </w:rPr>
        <w:t>but opted out of the pilot study. The number of respondents was less than the pilot study, as the student response rate was less.</w:t>
      </w:r>
    </w:p>
    <w:p w14:paraId="31FF61B6" w14:textId="54AEB3A4"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Pr="31D2B011">
        <w:rPr>
          <w:sz w:val="24"/>
          <w:szCs w:val="24"/>
        </w:rPr>
        <w:t>___</w:t>
      </w:r>
      <w:r w:rsidR="735A60D7" w:rsidRPr="31D2B011">
        <w:rPr>
          <w:sz w:val="24"/>
          <w:szCs w:val="24"/>
        </w:rPr>
        <w:t>65 respondents</w:t>
      </w:r>
    </w:p>
    <w:p w14:paraId="37FBFE79" w14:textId="118D9925" w:rsidR="0073273B" w:rsidRPr="001D51FD" w:rsidRDefault="0073273B" w:rsidP="003F4D85">
      <w:pPr>
        <w:pStyle w:val="ListParagraph"/>
        <w:numPr>
          <w:ilvl w:val="0"/>
          <w:numId w:val="14"/>
        </w:numPr>
        <w:ind w:left="1800"/>
      </w:pPr>
      <w:r w:rsidRPr="001D51FD">
        <w:rPr>
          <w:sz w:val="24"/>
          <w:szCs w:val="24"/>
        </w:rPr>
        <w:t>Positive:</w:t>
      </w:r>
      <w:r w:rsidR="00285B86">
        <w:tab/>
      </w:r>
      <w:r w:rsidR="0CCEE942" w:rsidRPr="31D2B011">
        <w:t>75.4</w:t>
      </w:r>
      <w:r w:rsidRPr="001D51FD">
        <w:rPr>
          <w:sz w:val="24"/>
          <w:szCs w:val="24"/>
        </w:rPr>
        <w:t xml:space="preserve">% of </w:t>
      </w:r>
      <w:r w:rsidR="110DA3DE" w:rsidRPr="31D2B011">
        <w:rPr>
          <w:sz w:val="24"/>
          <w:szCs w:val="24"/>
        </w:rPr>
        <w:t>65</w:t>
      </w:r>
      <w:r w:rsidRPr="001D51FD">
        <w:rPr>
          <w:sz w:val="24"/>
          <w:szCs w:val="24"/>
        </w:rPr>
        <w:t xml:space="preserve"> </w:t>
      </w:r>
      <w:r w:rsidR="001D51FD" w:rsidRPr="001D51FD">
        <w:rPr>
          <w:sz w:val="24"/>
          <w:szCs w:val="24"/>
        </w:rPr>
        <w:t xml:space="preserve">number of </w:t>
      </w:r>
      <w:r w:rsidRPr="001D51FD">
        <w:rPr>
          <w:sz w:val="24"/>
          <w:szCs w:val="24"/>
        </w:rPr>
        <w:t>respondents</w:t>
      </w:r>
    </w:p>
    <w:p w14:paraId="665A9B89" w14:textId="58995EF9" w:rsidR="00684A25" w:rsidRDefault="0073273B" w:rsidP="003F4D85">
      <w:pPr>
        <w:pStyle w:val="ListParagraph"/>
        <w:numPr>
          <w:ilvl w:val="0"/>
          <w:numId w:val="14"/>
        </w:numPr>
        <w:ind w:left="1800"/>
      </w:pPr>
      <w:r w:rsidRPr="001D51FD">
        <w:rPr>
          <w:sz w:val="24"/>
          <w:szCs w:val="24"/>
        </w:rPr>
        <w:t>Neutral:</w:t>
      </w:r>
      <w:r w:rsidR="00285B86">
        <w:tab/>
      </w:r>
      <w:r w:rsidR="050F0F61" w:rsidRPr="31D2B011">
        <w:t>16.9</w:t>
      </w:r>
      <w:r w:rsidR="001D51FD" w:rsidRPr="001D51FD">
        <w:rPr>
          <w:sz w:val="24"/>
          <w:szCs w:val="24"/>
        </w:rPr>
        <w:t xml:space="preserve">% of </w:t>
      </w:r>
      <w:r w:rsidR="111B02D2" w:rsidRPr="31D2B011">
        <w:rPr>
          <w:sz w:val="24"/>
          <w:szCs w:val="24"/>
        </w:rPr>
        <w:t>65</w:t>
      </w:r>
      <w:r w:rsidR="001D51FD" w:rsidRPr="001D51FD">
        <w:rPr>
          <w:sz w:val="24"/>
          <w:szCs w:val="24"/>
        </w:rPr>
        <w:t xml:space="preserve"> number of respondents</w:t>
      </w:r>
    </w:p>
    <w:p w14:paraId="4B4A604B" w14:textId="1882DC04" w:rsidR="00C45872" w:rsidRPr="00684A25" w:rsidRDefault="0073273B" w:rsidP="003F4D85">
      <w:pPr>
        <w:pStyle w:val="ListParagraph"/>
        <w:numPr>
          <w:ilvl w:val="0"/>
          <w:numId w:val="14"/>
        </w:numPr>
        <w:ind w:left="1800"/>
      </w:pPr>
      <w:r w:rsidRPr="00684A25">
        <w:rPr>
          <w:sz w:val="24"/>
          <w:szCs w:val="24"/>
        </w:rPr>
        <w:lastRenderedPageBreak/>
        <w:t>Negative</w:t>
      </w:r>
      <w:r w:rsidR="001D51FD" w:rsidRPr="00684A25">
        <w:rPr>
          <w:sz w:val="24"/>
          <w:szCs w:val="24"/>
        </w:rPr>
        <w:t>:</w:t>
      </w:r>
      <w:r w:rsidR="00285B86">
        <w:tab/>
      </w:r>
      <w:r w:rsidR="2D38F603" w:rsidRPr="31D2B011">
        <w:t>7.7</w:t>
      </w:r>
      <w:r w:rsidR="001D51FD" w:rsidRPr="31D2B011">
        <w:rPr>
          <w:sz w:val="24"/>
          <w:szCs w:val="24"/>
        </w:rPr>
        <w:t xml:space="preserve">% </w:t>
      </w:r>
      <w:r w:rsidR="60BD59C4" w:rsidRPr="31D2B011">
        <w:rPr>
          <w:sz w:val="24"/>
          <w:szCs w:val="24"/>
        </w:rPr>
        <w:t xml:space="preserve"> </w:t>
      </w:r>
      <w:r w:rsidR="001D51FD" w:rsidRPr="00684A25">
        <w:rPr>
          <w:sz w:val="24"/>
          <w:szCs w:val="24"/>
        </w:rPr>
        <w:t xml:space="preserve"> of </w:t>
      </w:r>
      <w:r w:rsidR="6919476D" w:rsidRPr="31D2B011">
        <w:rPr>
          <w:sz w:val="24"/>
          <w:szCs w:val="24"/>
        </w:rPr>
        <w:t>65</w:t>
      </w:r>
      <w:r w:rsidR="001D51FD" w:rsidRPr="00684A25">
        <w:rPr>
          <w:sz w:val="24"/>
          <w:szCs w:val="24"/>
        </w:rPr>
        <w:t xml:space="preserve">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849E8DF" w:rsidR="00071B22" w:rsidRPr="00071B22" w:rsidRDefault="00071B22" w:rsidP="003F4D85">
      <w:pPr>
        <w:pStyle w:val="ListParagraph"/>
        <w:numPr>
          <w:ilvl w:val="0"/>
          <w:numId w:val="16"/>
        </w:numPr>
        <w:ind w:left="1800"/>
        <w:rPr>
          <w:sz w:val="24"/>
          <w:szCs w:val="24"/>
        </w:rPr>
      </w:pPr>
      <w:r w:rsidRPr="6BCADF1E">
        <w:rPr>
          <w:sz w:val="24"/>
          <w:szCs w:val="24"/>
        </w:rPr>
        <w:t>_</w:t>
      </w:r>
      <w:r w:rsidR="28005FEA" w:rsidRPr="6BCADF1E">
        <w:rPr>
          <w:sz w:val="24"/>
          <w:szCs w:val="24"/>
        </w:rPr>
        <w:t>X</w:t>
      </w:r>
      <w:r w:rsidRPr="6BCADF1E">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7984B4A3" w14:textId="197AA058" w:rsidR="0033401E" w:rsidRDefault="0033401E" w:rsidP="2DDFD443">
      <w:pPr>
        <w:ind w:left="1080"/>
        <w:rPr>
          <w:i/>
          <w:iCs/>
          <w:sz w:val="24"/>
          <w:szCs w:val="24"/>
        </w:rPr>
      </w:pPr>
      <w:r w:rsidRPr="2DDFD443">
        <w:rPr>
          <w:i/>
          <w:iCs/>
          <w:sz w:val="24"/>
          <w:szCs w:val="24"/>
        </w:rPr>
        <w:t>Depending on what you and your institution can measure, this may also be known as a drop/failure rate or a withdraw/failure rate.</w:t>
      </w:r>
      <w:r w:rsidR="6EE8F0B6" w:rsidRPr="2DDFD443">
        <w:rPr>
          <w:i/>
          <w:iCs/>
          <w:sz w:val="24"/>
          <w:szCs w:val="24"/>
        </w:rPr>
        <w:t xml:space="preserve"> </w:t>
      </w:r>
    </w:p>
    <w:p w14:paraId="2C83D364" w14:textId="05790A62" w:rsidR="6EE8F0B6" w:rsidRDefault="6EE8F0B6" w:rsidP="2DDFD443">
      <w:pPr>
        <w:ind w:left="1080"/>
        <w:rPr>
          <w:i/>
          <w:iCs/>
          <w:sz w:val="24"/>
          <w:szCs w:val="24"/>
        </w:rPr>
      </w:pPr>
      <w:r w:rsidRPr="2DDFD443">
        <w:rPr>
          <w:i/>
          <w:iCs/>
          <w:sz w:val="24"/>
          <w:szCs w:val="24"/>
        </w:rPr>
        <w:t>This is for the ENGL Support Composition Classes only:</w:t>
      </w:r>
    </w:p>
    <w:p w14:paraId="42D814CB" w14:textId="17033AD7" w:rsidR="001E0EE3" w:rsidRPr="001E0EE3" w:rsidRDefault="001E0EE3" w:rsidP="003F4D85">
      <w:pPr>
        <w:ind w:left="1080"/>
        <w:rPr>
          <w:sz w:val="24"/>
          <w:szCs w:val="24"/>
        </w:rPr>
      </w:pPr>
      <w:r w:rsidRPr="2DDFD443">
        <w:rPr>
          <w:sz w:val="24"/>
          <w:szCs w:val="24"/>
        </w:rPr>
        <w:t>___</w:t>
      </w:r>
      <w:r w:rsidR="2C2866DB" w:rsidRPr="2DDFD443">
        <w:rPr>
          <w:sz w:val="24"/>
          <w:szCs w:val="24"/>
        </w:rPr>
        <w:t>27</w:t>
      </w:r>
      <w:r w:rsidRPr="2DDFD443">
        <w:rPr>
          <w:sz w:val="24"/>
          <w:szCs w:val="24"/>
        </w:rPr>
        <w:t>____%</w:t>
      </w:r>
      <w:r w:rsidRPr="001E0EE3">
        <w:rPr>
          <w:sz w:val="24"/>
          <w:szCs w:val="24"/>
        </w:rPr>
        <w:t xml:space="preserve"> of students, out of a total </w:t>
      </w:r>
      <w:r w:rsidRPr="2DDFD443">
        <w:rPr>
          <w:sz w:val="24"/>
          <w:szCs w:val="24"/>
        </w:rPr>
        <w:t>___</w:t>
      </w:r>
      <w:r w:rsidR="77A73411" w:rsidRPr="2DDFD443">
        <w:rPr>
          <w:sz w:val="24"/>
          <w:szCs w:val="24"/>
        </w:rPr>
        <w:t>334</w:t>
      </w:r>
      <w:r w:rsidRPr="2DDFD443">
        <w:rPr>
          <w:sz w:val="24"/>
          <w:szCs w:val="24"/>
        </w:rPr>
        <w:t>____</w:t>
      </w:r>
      <w:r w:rsidRPr="001E0EE3">
        <w:rPr>
          <w:sz w:val="24"/>
          <w:szCs w:val="24"/>
        </w:rPr>
        <w:t xml:space="preserve">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68DF0299" w:rsidR="00071B22" w:rsidRPr="00071B22" w:rsidRDefault="001E0EE3" w:rsidP="003F4D85">
      <w:pPr>
        <w:pStyle w:val="ListParagraph"/>
        <w:numPr>
          <w:ilvl w:val="0"/>
          <w:numId w:val="15"/>
        </w:numPr>
        <w:ind w:left="1800"/>
        <w:rPr>
          <w:sz w:val="24"/>
          <w:szCs w:val="24"/>
        </w:rPr>
      </w:pPr>
      <w:r w:rsidRPr="2DDFD443">
        <w:rPr>
          <w:sz w:val="24"/>
          <w:szCs w:val="24"/>
        </w:rPr>
        <w:t>__</w:t>
      </w:r>
      <w:r w:rsidR="39F2DD1A" w:rsidRPr="2DDFD443">
        <w:rPr>
          <w:sz w:val="24"/>
          <w:szCs w:val="24"/>
        </w:rPr>
        <w:t>X</w:t>
      </w:r>
      <w:r w:rsidRPr="2DDFD443">
        <w:rPr>
          <w:sz w:val="24"/>
          <w:szCs w:val="24"/>
        </w:rPr>
        <w:t>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16163825"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0DD89316" w14:textId="1910E008" w:rsidR="2DDFD443" w:rsidRDefault="2DDFD443" w:rsidP="2DDFD443">
      <w:pPr>
        <w:rPr>
          <w:b/>
          <w:bCs/>
        </w:rPr>
      </w:pP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1B8703C8" w:rsidR="0073273B" w:rsidRDefault="00F70B70" w:rsidP="003F4D85">
      <w:pPr>
        <w:ind w:left="720"/>
        <w:rPr>
          <w:i/>
          <w:sz w:val="24"/>
          <w:szCs w:val="24"/>
          <w:highlight w:val="yellow"/>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p>
    <w:p w14:paraId="70506B84" w14:textId="6E431A60" w:rsidR="00630263" w:rsidRDefault="00630263" w:rsidP="003F4D85">
      <w:pPr>
        <w:ind w:left="720"/>
        <w:rPr>
          <w:i/>
          <w:sz w:val="24"/>
          <w:szCs w:val="24"/>
        </w:rPr>
      </w:pPr>
      <w:r>
        <w:rPr>
          <w:i/>
          <w:sz w:val="24"/>
          <w:szCs w:val="24"/>
        </w:rPr>
        <w:lastRenderedPageBreak/>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73273B"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3A079EA4" w14:textId="6D3C91A9" w:rsidR="245991DD" w:rsidRDefault="245991DD" w:rsidP="2DDFD443">
      <w:pPr>
        <w:spacing w:line="257" w:lineRule="auto"/>
        <w:rPr>
          <w:rFonts w:ascii="Calibri" w:eastAsia="Calibri" w:hAnsi="Calibri" w:cs="Calibri"/>
          <w:b/>
          <w:bCs/>
          <w:sz w:val="24"/>
          <w:szCs w:val="24"/>
        </w:rPr>
      </w:pPr>
      <w:r w:rsidRPr="2DDFD443">
        <w:rPr>
          <w:rFonts w:ascii="Calibri" w:eastAsia="Calibri" w:hAnsi="Calibri" w:cs="Calibri"/>
          <w:b/>
          <w:bCs/>
          <w:sz w:val="24"/>
          <w:szCs w:val="24"/>
        </w:rPr>
        <w:t>Research Findings</w:t>
      </w:r>
    </w:p>
    <w:p w14:paraId="31D9F2A5" w14:textId="7B22BD1A" w:rsidR="003873E1" w:rsidRPr="00F70D85" w:rsidRDefault="00F70D85" w:rsidP="2DDFD443">
      <w:pPr>
        <w:spacing w:line="257" w:lineRule="auto"/>
        <w:rPr>
          <w:rFonts w:ascii="Calibri" w:eastAsia="Calibri" w:hAnsi="Calibri" w:cs="Calibri"/>
          <w:sz w:val="24"/>
          <w:szCs w:val="24"/>
          <w:u w:val="single"/>
        </w:rPr>
      </w:pPr>
      <w:r>
        <w:rPr>
          <w:rFonts w:ascii="Calibri" w:eastAsia="Calibri" w:hAnsi="Calibri" w:cs="Calibri"/>
          <w:sz w:val="24"/>
          <w:szCs w:val="24"/>
          <w:u w:val="single"/>
        </w:rPr>
        <w:t xml:space="preserve">Student </w:t>
      </w:r>
      <w:r w:rsidR="003873E1" w:rsidRPr="00F70D85">
        <w:rPr>
          <w:rFonts w:ascii="Calibri" w:eastAsia="Calibri" w:hAnsi="Calibri" w:cs="Calibri"/>
          <w:sz w:val="24"/>
          <w:szCs w:val="24"/>
          <w:u w:val="single"/>
        </w:rPr>
        <w:t>Attitudinal Survey Results</w:t>
      </w:r>
    </w:p>
    <w:p w14:paraId="14B55B99" w14:textId="7DB40DF3" w:rsidR="003873E1" w:rsidRDefault="003873E1" w:rsidP="2DDFD443">
      <w:pPr>
        <w:spacing w:line="257" w:lineRule="auto"/>
        <w:rPr>
          <w:rFonts w:ascii="Calibri" w:eastAsia="Calibri" w:hAnsi="Calibri" w:cs="Calibri"/>
          <w:sz w:val="24"/>
          <w:szCs w:val="24"/>
        </w:rPr>
      </w:pPr>
      <w:r>
        <w:rPr>
          <w:rFonts w:ascii="Calibri" w:eastAsia="Calibri" w:hAnsi="Calibri" w:cs="Calibri"/>
          <w:sz w:val="24"/>
          <w:szCs w:val="24"/>
        </w:rPr>
        <w:t xml:space="preserve">A 10-question survey of student attitudes was administered as a pre-post experience at the beginning and end of the semesters, respectively. The pre-survey was administered in the first three weeks of the semester and gathered initial student impressions. The post-survey was administered in the final two weeks of the semester and gathered student reflective attitudes on their experience. The same prompts were written either </w:t>
      </w:r>
      <w:proofErr w:type="spellStart"/>
      <w:r>
        <w:rPr>
          <w:rFonts w:ascii="Calibri" w:eastAsia="Calibri" w:hAnsi="Calibri" w:cs="Calibri"/>
          <w:sz w:val="24"/>
          <w:szCs w:val="24"/>
        </w:rPr>
        <w:t>projectively</w:t>
      </w:r>
      <w:proofErr w:type="spellEnd"/>
      <w:r>
        <w:rPr>
          <w:rFonts w:ascii="Calibri" w:eastAsia="Calibri" w:hAnsi="Calibri" w:cs="Calibri"/>
          <w:sz w:val="24"/>
          <w:szCs w:val="24"/>
        </w:rPr>
        <w:t xml:space="preserve"> or retrospectively</w:t>
      </w:r>
      <w:r w:rsidR="00540F50">
        <w:rPr>
          <w:rFonts w:ascii="Calibri" w:eastAsia="Calibri" w:hAnsi="Calibri" w:cs="Calibri"/>
          <w:sz w:val="24"/>
          <w:szCs w:val="24"/>
        </w:rPr>
        <w:t xml:space="preserve"> for the pre-survey and post-survey, respectively.</w:t>
      </w:r>
    </w:p>
    <w:p w14:paraId="0B02C512" w14:textId="21BA20EC" w:rsidR="00540F50" w:rsidRDefault="00940F08" w:rsidP="2DDFD443">
      <w:pPr>
        <w:spacing w:line="257" w:lineRule="auto"/>
        <w:rPr>
          <w:rFonts w:ascii="Calibri" w:eastAsia="Calibri" w:hAnsi="Calibri" w:cs="Calibri"/>
          <w:sz w:val="24"/>
          <w:szCs w:val="24"/>
        </w:rPr>
      </w:pPr>
      <w:r>
        <w:rPr>
          <w:rFonts w:ascii="Calibri" w:eastAsia="Calibri" w:hAnsi="Calibri" w:cs="Calibri"/>
          <w:sz w:val="24"/>
          <w:szCs w:val="24"/>
        </w:rPr>
        <w:t>Sixty-three students consented to allow their survey results to be used for this study, 44 in the experimental sections, 19 in the control sections.</w:t>
      </w:r>
      <w:r w:rsidR="001D04F6">
        <w:rPr>
          <w:rFonts w:ascii="Calibri" w:eastAsia="Calibri" w:hAnsi="Calibri" w:cs="Calibri"/>
          <w:sz w:val="24"/>
          <w:szCs w:val="24"/>
        </w:rPr>
        <w:t xml:space="preserve"> Of those 63, 27 students completed both the pre- and post-surveys, 18 in the experimental sections, 9 in the control sections.</w:t>
      </w:r>
    </w:p>
    <w:p w14:paraId="058423C2" w14:textId="39814093" w:rsidR="00FD7A39" w:rsidRDefault="00733522" w:rsidP="2DDFD443">
      <w:pPr>
        <w:spacing w:line="257" w:lineRule="auto"/>
        <w:rPr>
          <w:rFonts w:ascii="Calibri" w:eastAsia="Calibri" w:hAnsi="Calibri" w:cs="Calibri"/>
          <w:sz w:val="24"/>
          <w:szCs w:val="24"/>
        </w:rPr>
      </w:pPr>
      <w:r>
        <w:rPr>
          <w:rFonts w:ascii="Calibri" w:eastAsia="Calibri" w:hAnsi="Calibri" w:cs="Calibri"/>
          <w:sz w:val="24"/>
          <w:szCs w:val="24"/>
        </w:rPr>
        <w:t>Student a</w:t>
      </w:r>
      <w:r w:rsidR="00FD7A39">
        <w:rPr>
          <w:rFonts w:ascii="Calibri" w:eastAsia="Calibri" w:hAnsi="Calibri" w:cs="Calibri"/>
          <w:sz w:val="24"/>
          <w:szCs w:val="24"/>
        </w:rPr>
        <w:t>ttitude</w:t>
      </w:r>
      <w:r w:rsidR="00F70D85">
        <w:rPr>
          <w:rFonts w:ascii="Calibri" w:eastAsia="Calibri" w:hAnsi="Calibri" w:cs="Calibri"/>
          <w:sz w:val="24"/>
          <w:szCs w:val="24"/>
        </w:rPr>
        <w:t>s</w:t>
      </w:r>
      <w:r>
        <w:rPr>
          <w:rFonts w:ascii="Calibri" w:eastAsia="Calibri" w:hAnsi="Calibri" w:cs="Calibri"/>
          <w:sz w:val="24"/>
          <w:szCs w:val="24"/>
        </w:rPr>
        <w:t xml:space="preserve"> </w:t>
      </w:r>
      <w:r w:rsidR="00F70D85">
        <w:rPr>
          <w:rFonts w:ascii="Calibri" w:eastAsia="Calibri" w:hAnsi="Calibri" w:cs="Calibri"/>
          <w:sz w:val="24"/>
          <w:szCs w:val="24"/>
        </w:rPr>
        <w:t xml:space="preserve">are represented in the table below. The extent of attitudinal agreement was calculated by </w:t>
      </w:r>
      <w:r>
        <w:rPr>
          <w:rFonts w:ascii="Calibri" w:eastAsia="Calibri" w:hAnsi="Calibri" w:cs="Calibri"/>
          <w:sz w:val="24"/>
          <w:szCs w:val="24"/>
        </w:rPr>
        <w:t>providing a value for a student answer that agreed with the prompt, a lesser value for a student answer that neither agreed nor disagreed with the prompt, and a least value for a student answer that disagreed with the prompt.</w:t>
      </w:r>
    </w:p>
    <w:p w14:paraId="48C116B5" w14:textId="694BCFC9" w:rsidR="00733522" w:rsidRDefault="00733522" w:rsidP="2DDFD443">
      <w:pPr>
        <w:spacing w:line="257" w:lineRule="auto"/>
        <w:rPr>
          <w:rFonts w:ascii="Calibri" w:eastAsia="Calibri" w:hAnsi="Calibri" w:cs="Calibri"/>
          <w:sz w:val="24"/>
          <w:szCs w:val="24"/>
        </w:rPr>
      </w:pPr>
      <w:r>
        <w:rPr>
          <w:rFonts w:ascii="Calibri" w:eastAsia="Calibri" w:hAnsi="Calibri" w:cs="Calibri"/>
          <w:sz w:val="24"/>
          <w:szCs w:val="24"/>
        </w:rPr>
        <w:t>Agree = 1</w:t>
      </w:r>
    </w:p>
    <w:p w14:paraId="72370E78" w14:textId="66DEB6B2" w:rsidR="00733522" w:rsidRDefault="00733522" w:rsidP="2DDFD443">
      <w:pPr>
        <w:spacing w:line="257" w:lineRule="auto"/>
        <w:rPr>
          <w:rFonts w:ascii="Calibri" w:eastAsia="Calibri" w:hAnsi="Calibri" w:cs="Calibri"/>
          <w:sz w:val="24"/>
          <w:szCs w:val="24"/>
        </w:rPr>
      </w:pPr>
      <w:r>
        <w:rPr>
          <w:rFonts w:ascii="Calibri" w:eastAsia="Calibri" w:hAnsi="Calibri" w:cs="Calibri"/>
          <w:sz w:val="24"/>
          <w:szCs w:val="24"/>
        </w:rPr>
        <w:t>Neither Agree nor Disagree = 0</w:t>
      </w:r>
    </w:p>
    <w:p w14:paraId="54919864" w14:textId="684CE830" w:rsidR="00733522" w:rsidRDefault="00733522" w:rsidP="2DDFD443">
      <w:pPr>
        <w:spacing w:line="257" w:lineRule="auto"/>
        <w:rPr>
          <w:rFonts w:ascii="Calibri" w:eastAsia="Calibri" w:hAnsi="Calibri" w:cs="Calibri"/>
          <w:sz w:val="24"/>
          <w:szCs w:val="24"/>
        </w:rPr>
      </w:pPr>
      <w:r>
        <w:rPr>
          <w:rFonts w:ascii="Calibri" w:eastAsia="Calibri" w:hAnsi="Calibri" w:cs="Calibri"/>
          <w:sz w:val="24"/>
          <w:szCs w:val="24"/>
        </w:rPr>
        <w:t>Disagree = -1</w:t>
      </w:r>
    </w:p>
    <w:p w14:paraId="7BF0C435" w14:textId="20C97CAB" w:rsidR="00601E86" w:rsidRDefault="00601E86" w:rsidP="2DDFD443">
      <w:pPr>
        <w:spacing w:line="257" w:lineRule="auto"/>
        <w:rPr>
          <w:rFonts w:ascii="Calibri" w:eastAsia="Calibri" w:hAnsi="Calibri" w:cs="Calibri"/>
          <w:sz w:val="24"/>
          <w:szCs w:val="24"/>
        </w:rPr>
      </w:pPr>
      <w:r>
        <w:rPr>
          <w:rFonts w:ascii="Calibri" w:eastAsia="Calibri" w:hAnsi="Calibri" w:cs="Calibri"/>
          <w:sz w:val="24"/>
          <w:szCs w:val="24"/>
        </w:rPr>
        <w:t xml:space="preserve">The extent score can be understood where a score of greater than 50% indicates overall strong agreement with the </w:t>
      </w:r>
      <w:r w:rsidR="00610941">
        <w:rPr>
          <w:rFonts w:ascii="Calibri" w:eastAsia="Calibri" w:hAnsi="Calibri" w:cs="Calibri"/>
          <w:sz w:val="24"/>
          <w:szCs w:val="24"/>
        </w:rPr>
        <w:t>prompt, a score of 0-50% indicates somewhat agreement with the prompt, and a score of less than 0% indicates disagreement with the prompt.</w:t>
      </w:r>
    </w:p>
    <w:p w14:paraId="37AAAC82" w14:textId="777D85EC" w:rsidR="00CF0CC3" w:rsidRDefault="00CF0CC3" w:rsidP="2DDFD443">
      <w:pPr>
        <w:spacing w:line="257" w:lineRule="auto"/>
        <w:rPr>
          <w:rFonts w:ascii="Calibri" w:eastAsia="Calibri" w:hAnsi="Calibri" w:cs="Calibri"/>
          <w:sz w:val="24"/>
          <w:szCs w:val="24"/>
        </w:rPr>
      </w:pPr>
      <w:r>
        <w:rPr>
          <w:rFonts w:ascii="Calibri" w:eastAsia="Calibri" w:hAnsi="Calibri" w:cs="Calibri"/>
          <w:sz w:val="24"/>
          <w:szCs w:val="24"/>
        </w:rPr>
        <w:t xml:space="preserve">The one </w:t>
      </w:r>
      <w:r w:rsidR="008D05A9">
        <w:rPr>
          <w:rFonts w:ascii="Calibri" w:eastAsia="Calibri" w:hAnsi="Calibri" w:cs="Calibri"/>
          <w:sz w:val="24"/>
          <w:szCs w:val="24"/>
        </w:rPr>
        <w:t xml:space="preserve">outlier pairing in prompts is Question 7, where the pre-survey asked students to agree with whether the assignments were “what the student was expecting” and the post-survey asked </w:t>
      </w:r>
      <w:r w:rsidR="00851D39">
        <w:rPr>
          <w:rFonts w:ascii="Calibri" w:eastAsia="Calibri" w:hAnsi="Calibri" w:cs="Calibri"/>
          <w:sz w:val="24"/>
          <w:szCs w:val="24"/>
        </w:rPr>
        <w:t xml:space="preserve">whether the student agreed the course “helped </w:t>
      </w:r>
      <w:r w:rsidR="00A23D81">
        <w:rPr>
          <w:rFonts w:ascii="Calibri" w:eastAsia="Calibri" w:hAnsi="Calibri" w:cs="Calibri"/>
          <w:sz w:val="24"/>
          <w:szCs w:val="24"/>
        </w:rPr>
        <w:t xml:space="preserve">the student understand” why college </w:t>
      </w:r>
      <w:r w:rsidR="00A23D81">
        <w:rPr>
          <w:rFonts w:ascii="Calibri" w:eastAsia="Calibri" w:hAnsi="Calibri" w:cs="Calibri"/>
          <w:sz w:val="24"/>
          <w:szCs w:val="24"/>
        </w:rPr>
        <w:lastRenderedPageBreak/>
        <w:t>writing “was important.” Unlike the other prompts, which are aligned</w:t>
      </w:r>
      <w:r w:rsidR="00A4596E">
        <w:rPr>
          <w:rFonts w:ascii="Calibri" w:eastAsia="Calibri" w:hAnsi="Calibri" w:cs="Calibri"/>
          <w:sz w:val="24"/>
          <w:szCs w:val="24"/>
        </w:rPr>
        <w:t xml:space="preserve"> and oriented</w:t>
      </w:r>
      <w:r w:rsidR="00A23D81">
        <w:rPr>
          <w:rFonts w:ascii="Calibri" w:eastAsia="Calibri" w:hAnsi="Calibri" w:cs="Calibri"/>
          <w:sz w:val="24"/>
          <w:szCs w:val="24"/>
        </w:rPr>
        <w:t xml:space="preserve"> </w:t>
      </w:r>
      <w:r w:rsidR="00A4596E">
        <w:rPr>
          <w:rFonts w:ascii="Calibri" w:eastAsia="Calibri" w:hAnsi="Calibri" w:cs="Calibri"/>
          <w:sz w:val="24"/>
          <w:szCs w:val="24"/>
        </w:rPr>
        <w:t xml:space="preserve">explicitly around the same language and concepts, these prompts were aligned in terms of correlative relationship, where the perception that course readings and assignments met expectations </w:t>
      </w:r>
      <w:r w:rsidR="007A1549">
        <w:rPr>
          <w:rFonts w:ascii="Calibri" w:eastAsia="Calibri" w:hAnsi="Calibri" w:cs="Calibri"/>
          <w:sz w:val="24"/>
          <w:szCs w:val="24"/>
        </w:rPr>
        <w:t>would be an indicator of how the course demonstrated the importance of writing for college success.</w:t>
      </w:r>
    </w:p>
    <w:p w14:paraId="2F2491DF" w14:textId="40EFE926" w:rsidR="001D1836" w:rsidRDefault="007A1549" w:rsidP="2DDFD443">
      <w:pPr>
        <w:spacing w:line="257" w:lineRule="auto"/>
        <w:rPr>
          <w:rFonts w:ascii="Calibri" w:eastAsia="Calibri" w:hAnsi="Calibri" w:cs="Calibri"/>
          <w:sz w:val="24"/>
          <w:szCs w:val="24"/>
        </w:rPr>
      </w:pPr>
      <w:r>
        <w:rPr>
          <w:rFonts w:ascii="Calibri" w:eastAsia="Calibri" w:hAnsi="Calibri" w:cs="Calibri"/>
          <w:sz w:val="24"/>
          <w:szCs w:val="24"/>
        </w:rPr>
        <w:t>For all prompts, d</w:t>
      </w:r>
      <w:r w:rsidR="001D1836">
        <w:rPr>
          <w:rFonts w:ascii="Calibri" w:eastAsia="Calibri" w:hAnsi="Calibri" w:cs="Calibri"/>
          <w:sz w:val="24"/>
          <w:szCs w:val="24"/>
        </w:rPr>
        <w:t xml:space="preserve">ifferences pre-to-post were </w:t>
      </w:r>
      <w:r>
        <w:rPr>
          <w:rFonts w:ascii="Calibri" w:eastAsia="Calibri" w:hAnsi="Calibri" w:cs="Calibri"/>
          <w:sz w:val="24"/>
          <w:szCs w:val="24"/>
        </w:rPr>
        <w:t xml:space="preserve">then </w:t>
      </w:r>
      <w:r w:rsidR="001D1836">
        <w:rPr>
          <w:rFonts w:ascii="Calibri" w:eastAsia="Calibri" w:hAnsi="Calibri" w:cs="Calibri"/>
          <w:sz w:val="24"/>
          <w:szCs w:val="24"/>
        </w:rPr>
        <w:t>calculated to indicate the degree of change of student attitudes over the course of the semester.</w:t>
      </w:r>
    </w:p>
    <w:p w14:paraId="013A5FF2" w14:textId="1759FD4E" w:rsidR="000414C9" w:rsidRDefault="000414C9" w:rsidP="2DDFD443">
      <w:pPr>
        <w:spacing w:line="257" w:lineRule="auto"/>
        <w:rPr>
          <w:rFonts w:ascii="Calibri" w:eastAsia="Calibri" w:hAnsi="Calibri" w:cs="Calibri"/>
          <w:sz w:val="24"/>
          <w:szCs w:val="24"/>
        </w:rPr>
      </w:pPr>
      <w:r>
        <w:rPr>
          <w:rFonts w:ascii="Calibri" w:eastAsia="Calibri" w:hAnsi="Calibri" w:cs="Calibri"/>
          <w:sz w:val="24"/>
          <w:szCs w:val="24"/>
        </w:rPr>
        <w:t xml:space="preserve">Table. </w:t>
      </w:r>
      <w:r w:rsidRPr="00AC144D">
        <w:rPr>
          <w:rFonts w:ascii="Arial" w:eastAsia="Times New Roman" w:hAnsi="Arial" w:cs="Arial"/>
          <w:color w:val="000000"/>
          <w:sz w:val="24"/>
          <w:szCs w:val="24"/>
        </w:rPr>
        <w:t>Pre and post survey results by question, extent of agreement and attitude change pre-post, students taking both pre- and post</w:t>
      </w:r>
      <w:r>
        <w:rPr>
          <w:rFonts w:ascii="Arial" w:eastAsia="Times New Roman" w:hAnsi="Arial" w:cs="Arial"/>
          <w:color w:val="000000"/>
          <w:sz w:val="24"/>
          <w:szCs w:val="24"/>
        </w:rPr>
        <w:t>-</w:t>
      </w:r>
      <w:r w:rsidRPr="00AC144D">
        <w:rPr>
          <w:rFonts w:ascii="Arial" w:eastAsia="Times New Roman" w:hAnsi="Arial" w:cs="Arial"/>
          <w:color w:val="000000"/>
          <w:sz w:val="24"/>
          <w:szCs w:val="24"/>
        </w:rPr>
        <w:t>surveys</w:t>
      </w:r>
      <w:r>
        <w:rPr>
          <w:rFonts w:ascii="Arial" w:eastAsia="Times New Roman" w:hAnsi="Arial" w:cs="Arial"/>
          <w:color w:val="000000"/>
          <w:sz w:val="24"/>
          <w:szCs w:val="24"/>
        </w:rPr>
        <w:t xml:space="preserve"> (experimental = 18, control = 9)</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2281"/>
        <w:gridCol w:w="1261"/>
        <w:gridCol w:w="2624"/>
        <w:gridCol w:w="1261"/>
        <w:gridCol w:w="1195"/>
      </w:tblGrid>
      <w:tr w:rsidR="000414C9" w:rsidRPr="00AC144D" w14:paraId="4BF951C7" w14:textId="77777777" w:rsidTr="000414C9">
        <w:trPr>
          <w:trHeight w:val="540"/>
        </w:trPr>
        <w:tc>
          <w:tcPr>
            <w:tcW w:w="1473" w:type="dxa"/>
            <w:shd w:val="clear" w:color="auto" w:fill="auto"/>
            <w:noWrap/>
            <w:hideMark/>
          </w:tcPr>
          <w:p w14:paraId="40F2ED32"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281" w:type="dxa"/>
            <w:shd w:val="clear" w:color="auto" w:fill="auto"/>
            <w:vAlign w:val="center"/>
            <w:hideMark/>
          </w:tcPr>
          <w:p w14:paraId="428272BA" w14:textId="77777777" w:rsidR="00AC144D" w:rsidRPr="00AC144D" w:rsidRDefault="00AC144D" w:rsidP="00AC144D">
            <w:pPr>
              <w:spacing w:after="0" w:line="240" w:lineRule="auto"/>
              <w:jc w:val="center"/>
              <w:rPr>
                <w:rFonts w:ascii="Arial" w:eastAsia="Times New Roman" w:hAnsi="Arial" w:cs="Arial"/>
                <w:b/>
                <w:bCs/>
                <w:color w:val="000000"/>
                <w:sz w:val="20"/>
                <w:szCs w:val="20"/>
              </w:rPr>
            </w:pPr>
            <w:proofErr w:type="gramStart"/>
            <w:r w:rsidRPr="00AC144D">
              <w:rPr>
                <w:rFonts w:ascii="Arial" w:eastAsia="Times New Roman" w:hAnsi="Arial" w:cs="Arial"/>
                <w:b/>
                <w:bCs/>
                <w:color w:val="000000"/>
                <w:sz w:val="20"/>
                <w:szCs w:val="20"/>
              </w:rPr>
              <w:t>Pre Survey</w:t>
            </w:r>
            <w:proofErr w:type="gramEnd"/>
          </w:p>
        </w:tc>
        <w:tc>
          <w:tcPr>
            <w:tcW w:w="1261" w:type="dxa"/>
            <w:shd w:val="clear" w:color="auto" w:fill="auto"/>
            <w:vAlign w:val="center"/>
            <w:hideMark/>
          </w:tcPr>
          <w:p w14:paraId="21782210" w14:textId="77777777" w:rsidR="00AC144D" w:rsidRPr="00AC144D" w:rsidRDefault="00AC144D" w:rsidP="00AC144D">
            <w:pPr>
              <w:spacing w:after="0" w:line="240" w:lineRule="auto"/>
              <w:jc w:val="center"/>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Extent of Agreement</w:t>
            </w:r>
          </w:p>
        </w:tc>
        <w:tc>
          <w:tcPr>
            <w:tcW w:w="2624" w:type="dxa"/>
            <w:shd w:val="clear" w:color="auto" w:fill="auto"/>
            <w:vAlign w:val="center"/>
            <w:hideMark/>
          </w:tcPr>
          <w:p w14:paraId="18BF8726" w14:textId="77777777" w:rsidR="00AC144D" w:rsidRPr="00AC144D" w:rsidRDefault="00AC144D" w:rsidP="00AC144D">
            <w:pPr>
              <w:spacing w:after="0" w:line="240" w:lineRule="auto"/>
              <w:jc w:val="center"/>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Post Survey</w:t>
            </w:r>
          </w:p>
        </w:tc>
        <w:tc>
          <w:tcPr>
            <w:tcW w:w="1261" w:type="dxa"/>
            <w:shd w:val="clear" w:color="auto" w:fill="auto"/>
            <w:vAlign w:val="center"/>
            <w:hideMark/>
          </w:tcPr>
          <w:p w14:paraId="06B06D4A" w14:textId="77777777" w:rsidR="00AC144D" w:rsidRPr="00AC144D" w:rsidRDefault="00AC144D" w:rsidP="00AC144D">
            <w:pPr>
              <w:spacing w:after="0" w:line="240" w:lineRule="auto"/>
              <w:jc w:val="center"/>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Extent of Agreement</w:t>
            </w:r>
          </w:p>
        </w:tc>
        <w:tc>
          <w:tcPr>
            <w:tcW w:w="1195" w:type="dxa"/>
            <w:shd w:val="clear" w:color="auto" w:fill="auto"/>
            <w:vAlign w:val="center"/>
            <w:hideMark/>
          </w:tcPr>
          <w:p w14:paraId="395D5100" w14:textId="77777777" w:rsidR="00AC144D" w:rsidRPr="00AC144D" w:rsidRDefault="00AC144D" w:rsidP="00AC144D">
            <w:pPr>
              <w:spacing w:after="0" w:line="240" w:lineRule="auto"/>
              <w:jc w:val="center"/>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Difference</w:t>
            </w:r>
          </w:p>
        </w:tc>
      </w:tr>
      <w:tr w:rsidR="000414C9" w:rsidRPr="00AC144D" w14:paraId="2BAFF4D1" w14:textId="77777777" w:rsidTr="000414C9">
        <w:trPr>
          <w:trHeight w:val="485"/>
        </w:trPr>
        <w:tc>
          <w:tcPr>
            <w:tcW w:w="1473" w:type="dxa"/>
            <w:shd w:val="clear" w:color="auto" w:fill="auto"/>
            <w:noWrap/>
            <w:hideMark/>
          </w:tcPr>
          <w:p w14:paraId="36C324E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1</w:t>
            </w:r>
          </w:p>
        </w:tc>
        <w:tc>
          <w:tcPr>
            <w:tcW w:w="2281" w:type="dxa"/>
            <w:shd w:val="clear" w:color="auto" w:fill="auto"/>
            <w:hideMark/>
          </w:tcPr>
          <w:p w14:paraId="776B4AB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find the course organized and accessible.</w:t>
            </w:r>
          </w:p>
        </w:tc>
        <w:tc>
          <w:tcPr>
            <w:tcW w:w="1261" w:type="dxa"/>
            <w:shd w:val="clear" w:color="auto" w:fill="auto"/>
            <w:hideMark/>
          </w:tcPr>
          <w:p w14:paraId="6A1E536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2872791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course was organized and accessible.</w:t>
            </w:r>
          </w:p>
        </w:tc>
        <w:tc>
          <w:tcPr>
            <w:tcW w:w="1261" w:type="dxa"/>
            <w:shd w:val="clear" w:color="auto" w:fill="auto"/>
            <w:hideMark/>
          </w:tcPr>
          <w:p w14:paraId="4A9C9663"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744239C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7AFD02A1" w14:textId="77777777" w:rsidTr="000414C9">
        <w:trPr>
          <w:trHeight w:val="260"/>
        </w:trPr>
        <w:tc>
          <w:tcPr>
            <w:tcW w:w="1473" w:type="dxa"/>
            <w:shd w:val="clear" w:color="auto" w:fill="auto"/>
            <w:noWrap/>
            <w:hideMark/>
          </w:tcPr>
          <w:p w14:paraId="184FC820"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47BD3111"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401030EB"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2624" w:type="dxa"/>
            <w:shd w:val="clear" w:color="auto" w:fill="auto"/>
            <w:noWrap/>
            <w:hideMark/>
          </w:tcPr>
          <w:p w14:paraId="483175BF"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2C7EFA1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1195" w:type="dxa"/>
            <w:shd w:val="clear" w:color="auto" w:fill="auto"/>
            <w:hideMark/>
          </w:tcPr>
          <w:p w14:paraId="1E4C950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0.0%</w:t>
            </w:r>
          </w:p>
        </w:tc>
      </w:tr>
      <w:tr w:rsidR="000414C9" w:rsidRPr="00AC144D" w14:paraId="5AF75A0C" w14:textId="77777777" w:rsidTr="000414C9">
        <w:trPr>
          <w:trHeight w:val="108"/>
        </w:trPr>
        <w:tc>
          <w:tcPr>
            <w:tcW w:w="1473" w:type="dxa"/>
            <w:shd w:val="clear" w:color="auto" w:fill="auto"/>
            <w:noWrap/>
            <w:hideMark/>
          </w:tcPr>
          <w:p w14:paraId="575ACE5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51AA3F50"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0B4BAEE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88.9%</w:t>
            </w:r>
          </w:p>
        </w:tc>
        <w:tc>
          <w:tcPr>
            <w:tcW w:w="2624" w:type="dxa"/>
            <w:shd w:val="clear" w:color="auto" w:fill="auto"/>
            <w:noWrap/>
            <w:hideMark/>
          </w:tcPr>
          <w:p w14:paraId="71811799"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0073405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1195" w:type="dxa"/>
            <w:shd w:val="clear" w:color="auto" w:fill="auto"/>
            <w:hideMark/>
          </w:tcPr>
          <w:p w14:paraId="6077474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0D64E3BD" w14:textId="77777777" w:rsidTr="000414C9">
        <w:trPr>
          <w:trHeight w:val="458"/>
        </w:trPr>
        <w:tc>
          <w:tcPr>
            <w:tcW w:w="1473" w:type="dxa"/>
            <w:shd w:val="clear" w:color="auto" w:fill="auto"/>
            <w:noWrap/>
            <w:hideMark/>
          </w:tcPr>
          <w:p w14:paraId="5E465413"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2</w:t>
            </w:r>
          </w:p>
        </w:tc>
        <w:tc>
          <w:tcPr>
            <w:tcW w:w="2281" w:type="dxa"/>
            <w:shd w:val="clear" w:color="auto" w:fill="auto"/>
            <w:hideMark/>
          </w:tcPr>
          <w:p w14:paraId="4B145550"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find the online tools easy to navigate and use.</w:t>
            </w:r>
          </w:p>
        </w:tc>
        <w:tc>
          <w:tcPr>
            <w:tcW w:w="1261" w:type="dxa"/>
            <w:shd w:val="clear" w:color="auto" w:fill="auto"/>
            <w:hideMark/>
          </w:tcPr>
          <w:p w14:paraId="6619B3EE"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03189173"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online tools were easy to navigate and use.</w:t>
            </w:r>
          </w:p>
        </w:tc>
        <w:tc>
          <w:tcPr>
            <w:tcW w:w="1261" w:type="dxa"/>
            <w:shd w:val="clear" w:color="auto" w:fill="auto"/>
            <w:hideMark/>
          </w:tcPr>
          <w:p w14:paraId="6090900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24F2B05F"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4AD28DE3" w14:textId="77777777" w:rsidTr="000414C9">
        <w:trPr>
          <w:trHeight w:val="126"/>
        </w:trPr>
        <w:tc>
          <w:tcPr>
            <w:tcW w:w="1473" w:type="dxa"/>
            <w:shd w:val="clear" w:color="auto" w:fill="auto"/>
            <w:noWrap/>
            <w:hideMark/>
          </w:tcPr>
          <w:p w14:paraId="7281781D"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6BE9E20D"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0691EDC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2624" w:type="dxa"/>
            <w:shd w:val="clear" w:color="auto" w:fill="auto"/>
            <w:noWrap/>
            <w:hideMark/>
          </w:tcPr>
          <w:p w14:paraId="275AE7A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6575794F"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1195" w:type="dxa"/>
            <w:shd w:val="clear" w:color="auto" w:fill="auto"/>
            <w:hideMark/>
          </w:tcPr>
          <w:p w14:paraId="66BBB9C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52AEADA0" w14:textId="77777777" w:rsidTr="000414C9">
        <w:trPr>
          <w:trHeight w:val="77"/>
        </w:trPr>
        <w:tc>
          <w:tcPr>
            <w:tcW w:w="1473" w:type="dxa"/>
            <w:shd w:val="clear" w:color="auto" w:fill="auto"/>
            <w:noWrap/>
            <w:hideMark/>
          </w:tcPr>
          <w:p w14:paraId="0A9A16B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5465DE0B"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63041FFD"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2624" w:type="dxa"/>
            <w:shd w:val="clear" w:color="auto" w:fill="auto"/>
            <w:noWrap/>
            <w:hideMark/>
          </w:tcPr>
          <w:p w14:paraId="304C1E8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733AFC6C"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1195" w:type="dxa"/>
            <w:shd w:val="clear" w:color="auto" w:fill="auto"/>
            <w:hideMark/>
          </w:tcPr>
          <w:p w14:paraId="38F2B8F7"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0.0%</w:t>
            </w:r>
          </w:p>
        </w:tc>
      </w:tr>
      <w:tr w:rsidR="000414C9" w:rsidRPr="00AC144D" w14:paraId="22CF8689" w14:textId="77777777" w:rsidTr="000414C9">
        <w:trPr>
          <w:trHeight w:val="296"/>
        </w:trPr>
        <w:tc>
          <w:tcPr>
            <w:tcW w:w="1473" w:type="dxa"/>
            <w:shd w:val="clear" w:color="auto" w:fill="auto"/>
            <w:noWrap/>
            <w:hideMark/>
          </w:tcPr>
          <w:p w14:paraId="1247C16C"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3</w:t>
            </w:r>
          </w:p>
        </w:tc>
        <w:tc>
          <w:tcPr>
            <w:tcW w:w="2281" w:type="dxa"/>
            <w:shd w:val="clear" w:color="auto" w:fill="auto"/>
            <w:hideMark/>
          </w:tcPr>
          <w:p w14:paraId="65D40E18"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expect this course to be easy.</w:t>
            </w:r>
          </w:p>
        </w:tc>
        <w:tc>
          <w:tcPr>
            <w:tcW w:w="1261" w:type="dxa"/>
            <w:shd w:val="clear" w:color="auto" w:fill="auto"/>
            <w:hideMark/>
          </w:tcPr>
          <w:p w14:paraId="132DA1F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58AB1BC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This course was as easy as I expected it to be.</w:t>
            </w:r>
          </w:p>
        </w:tc>
        <w:tc>
          <w:tcPr>
            <w:tcW w:w="1261" w:type="dxa"/>
            <w:shd w:val="clear" w:color="auto" w:fill="auto"/>
            <w:hideMark/>
          </w:tcPr>
          <w:p w14:paraId="3755911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68ABD321"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37CAFBC7" w14:textId="77777777" w:rsidTr="000414C9">
        <w:trPr>
          <w:trHeight w:val="108"/>
        </w:trPr>
        <w:tc>
          <w:tcPr>
            <w:tcW w:w="1473" w:type="dxa"/>
            <w:shd w:val="clear" w:color="auto" w:fill="auto"/>
            <w:noWrap/>
            <w:hideMark/>
          </w:tcPr>
          <w:p w14:paraId="0E68FEA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6CFF0292"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0E127F1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38.9%</w:t>
            </w:r>
          </w:p>
        </w:tc>
        <w:tc>
          <w:tcPr>
            <w:tcW w:w="2624" w:type="dxa"/>
            <w:shd w:val="clear" w:color="auto" w:fill="auto"/>
            <w:noWrap/>
            <w:hideMark/>
          </w:tcPr>
          <w:p w14:paraId="76A19BE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30E68F89"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1195" w:type="dxa"/>
            <w:shd w:val="clear" w:color="auto" w:fill="auto"/>
            <w:hideMark/>
          </w:tcPr>
          <w:p w14:paraId="181D5177"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27.8%</w:t>
            </w:r>
          </w:p>
        </w:tc>
      </w:tr>
      <w:tr w:rsidR="000414C9" w:rsidRPr="00AC144D" w14:paraId="1F7AD620" w14:textId="77777777" w:rsidTr="000414C9">
        <w:trPr>
          <w:trHeight w:val="77"/>
        </w:trPr>
        <w:tc>
          <w:tcPr>
            <w:tcW w:w="1473" w:type="dxa"/>
            <w:shd w:val="clear" w:color="auto" w:fill="auto"/>
            <w:noWrap/>
            <w:hideMark/>
          </w:tcPr>
          <w:p w14:paraId="0129C7F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3AE89A22"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086DD090"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2624" w:type="dxa"/>
            <w:shd w:val="clear" w:color="auto" w:fill="auto"/>
            <w:noWrap/>
            <w:hideMark/>
          </w:tcPr>
          <w:p w14:paraId="77E6EAD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70CB513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44.4%</w:t>
            </w:r>
          </w:p>
        </w:tc>
        <w:tc>
          <w:tcPr>
            <w:tcW w:w="1195" w:type="dxa"/>
            <w:shd w:val="clear" w:color="auto" w:fill="auto"/>
            <w:hideMark/>
          </w:tcPr>
          <w:p w14:paraId="42F72CB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-33.3%</w:t>
            </w:r>
          </w:p>
        </w:tc>
      </w:tr>
      <w:tr w:rsidR="000414C9" w:rsidRPr="00AC144D" w14:paraId="5F18872B" w14:textId="77777777" w:rsidTr="000414C9">
        <w:trPr>
          <w:trHeight w:val="560"/>
        </w:trPr>
        <w:tc>
          <w:tcPr>
            <w:tcW w:w="1473" w:type="dxa"/>
            <w:shd w:val="clear" w:color="auto" w:fill="auto"/>
            <w:noWrap/>
            <w:hideMark/>
          </w:tcPr>
          <w:p w14:paraId="46755035"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4</w:t>
            </w:r>
          </w:p>
        </w:tc>
        <w:tc>
          <w:tcPr>
            <w:tcW w:w="2281" w:type="dxa"/>
            <w:shd w:val="clear" w:color="auto" w:fill="auto"/>
            <w:hideMark/>
          </w:tcPr>
          <w:p w14:paraId="1D92DF24"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find assignments and readings challenging.</w:t>
            </w:r>
          </w:p>
        </w:tc>
        <w:tc>
          <w:tcPr>
            <w:tcW w:w="1261" w:type="dxa"/>
            <w:shd w:val="clear" w:color="auto" w:fill="auto"/>
            <w:hideMark/>
          </w:tcPr>
          <w:p w14:paraId="26873269"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2BA5A0D1"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assignments and readings were challenging.</w:t>
            </w:r>
          </w:p>
        </w:tc>
        <w:tc>
          <w:tcPr>
            <w:tcW w:w="1261" w:type="dxa"/>
            <w:shd w:val="clear" w:color="auto" w:fill="auto"/>
            <w:hideMark/>
          </w:tcPr>
          <w:p w14:paraId="0C172E0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704D433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070D7A84" w14:textId="77777777" w:rsidTr="000414C9">
        <w:trPr>
          <w:trHeight w:val="77"/>
        </w:trPr>
        <w:tc>
          <w:tcPr>
            <w:tcW w:w="1473" w:type="dxa"/>
            <w:shd w:val="clear" w:color="auto" w:fill="auto"/>
            <w:noWrap/>
            <w:hideMark/>
          </w:tcPr>
          <w:p w14:paraId="4B0675E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51E70839"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2733479A"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-22.2%</w:t>
            </w:r>
          </w:p>
        </w:tc>
        <w:tc>
          <w:tcPr>
            <w:tcW w:w="2624" w:type="dxa"/>
            <w:shd w:val="clear" w:color="auto" w:fill="auto"/>
            <w:noWrap/>
            <w:hideMark/>
          </w:tcPr>
          <w:p w14:paraId="754EB110"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66EBB60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c>
          <w:tcPr>
            <w:tcW w:w="1195" w:type="dxa"/>
            <w:shd w:val="clear" w:color="auto" w:fill="auto"/>
            <w:hideMark/>
          </w:tcPr>
          <w:p w14:paraId="7BB26D06"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33.3%</w:t>
            </w:r>
          </w:p>
        </w:tc>
      </w:tr>
      <w:tr w:rsidR="000414C9" w:rsidRPr="00AC144D" w14:paraId="6C62D650" w14:textId="77777777" w:rsidTr="000414C9">
        <w:trPr>
          <w:trHeight w:val="260"/>
        </w:trPr>
        <w:tc>
          <w:tcPr>
            <w:tcW w:w="1473" w:type="dxa"/>
            <w:shd w:val="clear" w:color="auto" w:fill="auto"/>
            <w:noWrap/>
            <w:hideMark/>
          </w:tcPr>
          <w:p w14:paraId="2B21CCA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4AB607ED"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445AEB56"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22.2%</w:t>
            </w:r>
          </w:p>
        </w:tc>
        <w:tc>
          <w:tcPr>
            <w:tcW w:w="2624" w:type="dxa"/>
            <w:shd w:val="clear" w:color="auto" w:fill="auto"/>
            <w:noWrap/>
            <w:hideMark/>
          </w:tcPr>
          <w:p w14:paraId="6F030CB8"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630BDDD0"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c>
          <w:tcPr>
            <w:tcW w:w="1195" w:type="dxa"/>
            <w:shd w:val="clear" w:color="auto" w:fill="auto"/>
            <w:hideMark/>
          </w:tcPr>
          <w:p w14:paraId="59494EDA"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-33.3%</w:t>
            </w:r>
          </w:p>
        </w:tc>
      </w:tr>
      <w:tr w:rsidR="000414C9" w:rsidRPr="00AC144D" w14:paraId="04AEA0E6" w14:textId="77777777" w:rsidTr="000414C9">
        <w:trPr>
          <w:trHeight w:val="521"/>
        </w:trPr>
        <w:tc>
          <w:tcPr>
            <w:tcW w:w="1473" w:type="dxa"/>
            <w:shd w:val="clear" w:color="auto" w:fill="auto"/>
            <w:noWrap/>
            <w:hideMark/>
          </w:tcPr>
          <w:p w14:paraId="26C4A21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5</w:t>
            </w:r>
          </w:p>
        </w:tc>
        <w:tc>
          <w:tcPr>
            <w:tcW w:w="2281" w:type="dxa"/>
            <w:shd w:val="clear" w:color="auto" w:fill="auto"/>
            <w:hideMark/>
          </w:tcPr>
          <w:p w14:paraId="608B1CE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find assignments and readings engaging.</w:t>
            </w:r>
          </w:p>
        </w:tc>
        <w:tc>
          <w:tcPr>
            <w:tcW w:w="1261" w:type="dxa"/>
            <w:shd w:val="clear" w:color="auto" w:fill="auto"/>
            <w:hideMark/>
          </w:tcPr>
          <w:p w14:paraId="53E0ADDF"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6D7B29B0"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assignments and readings were engaging.</w:t>
            </w:r>
          </w:p>
        </w:tc>
        <w:tc>
          <w:tcPr>
            <w:tcW w:w="1261" w:type="dxa"/>
            <w:shd w:val="clear" w:color="auto" w:fill="auto"/>
            <w:hideMark/>
          </w:tcPr>
          <w:p w14:paraId="28FB316F"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47A449C3"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65E5B67F" w14:textId="77777777" w:rsidTr="000414C9">
        <w:trPr>
          <w:trHeight w:val="179"/>
        </w:trPr>
        <w:tc>
          <w:tcPr>
            <w:tcW w:w="1473" w:type="dxa"/>
            <w:shd w:val="clear" w:color="auto" w:fill="auto"/>
            <w:noWrap/>
            <w:hideMark/>
          </w:tcPr>
          <w:p w14:paraId="3A5F4FFA"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758BFB0A"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162AAAF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33.3%</w:t>
            </w:r>
          </w:p>
        </w:tc>
        <w:tc>
          <w:tcPr>
            <w:tcW w:w="2624" w:type="dxa"/>
            <w:shd w:val="clear" w:color="auto" w:fill="auto"/>
            <w:noWrap/>
            <w:hideMark/>
          </w:tcPr>
          <w:p w14:paraId="7DECA036"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79CB2E7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44.4%</w:t>
            </w:r>
          </w:p>
        </w:tc>
        <w:tc>
          <w:tcPr>
            <w:tcW w:w="1195" w:type="dxa"/>
            <w:shd w:val="clear" w:color="auto" w:fill="auto"/>
            <w:hideMark/>
          </w:tcPr>
          <w:p w14:paraId="02C1F52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706257FD" w14:textId="77777777" w:rsidTr="000414C9">
        <w:trPr>
          <w:trHeight w:val="116"/>
        </w:trPr>
        <w:tc>
          <w:tcPr>
            <w:tcW w:w="1473" w:type="dxa"/>
            <w:shd w:val="clear" w:color="auto" w:fill="auto"/>
            <w:noWrap/>
            <w:hideMark/>
          </w:tcPr>
          <w:p w14:paraId="3897193B"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17AFB6EA"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4B08F79D"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55.6%</w:t>
            </w:r>
          </w:p>
        </w:tc>
        <w:tc>
          <w:tcPr>
            <w:tcW w:w="2624" w:type="dxa"/>
            <w:shd w:val="clear" w:color="auto" w:fill="auto"/>
            <w:noWrap/>
            <w:hideMark/>
          </w:tcPr>
          <w:p w14:paraId="32101C40"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2F189167"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44.4%</w:t>
            </w:r>
          </w:p>
        </w:tc>
        <w:tc>
          <w:tcPr>
            <w:tcW w:w="1195" w:type="dxa"/>
            <w:shd w:val="clear" w:color="auto" w:fill="auto"/>
            <w:hideMark/>
          </w:tcPr>
          <w:p w14:paraId="5C8EE13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20B516BF" w14:textId="77777777" w:rsidTr="000414C9">
        <w:trPr>
          <w:trHeight w:val="611"/>
        </w:trPr>
        <w:tc>
          <w:tcPr>
            <w:tcW w:w="1473" w:type="dxa"/>
            <w:shd w:val="clear" w:color="auto" w:fill="auto"/>
            <w:noWrap/>
            <w:hideMark/>
          </w:tcPr>
          <w:p w14:paraId="07D6656C"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6</w:t>
            </w:r>
          </w:p>
        </w:tc>
        <w:tc>
          <w:tcPr>
            <w:tcW w:w="2281" w:type="dxa"/>
            <w:shd w:val="clear" w:color="auto" w:fill="auto"/>
            <w:hideMark/>
          </w:tcPr>
          <w:p w14:paraId="46FD91E9"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instructions help me understand what I'm supposed to do.</w:t>
            </w:r>
          </w:p>
        </w:tc>
        <w:tc>
          <w:tcPr>
            <w:tcW w:w="1261" w:type="dxa"/>
            <w:shd w:val="clear" w:color="auto" w:fill="auto"/>
            <w:hideMark/>
          </w:tcPr>
          <w:p w14:paraId="08D381E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352AF76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instructions helped me understand what I'm supposed to do.</w:t>
            </w:r>
          </w:p>
        </w:tc>
        <w:tc>
          <w:tcPr>
            <w:tcW w:w="1261" w:type="dxa"/>
            <w:shd w:val="clear" w:color="auto" w:fill="auto"/>
            <w:hideMark/>
          </w:tcPr>
          <w:p w14:paraId="4C61C94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5E73EF6D"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0221FEC2" w14:textId="77777777" w:rsidTr="000414C9">
        <w:trPr>
          <w:trHeight w:val="161"/>
        </w:trPr>
        <w:tc>
          <w:tcPr>
            <w:tcW w:w="1473" w:type="dxa"/>
            <w:shd w:val="clear" w:color="auto" w:fill="auto"/>
            <w:noWrap/>
            <w:hideMark/>
          </w:tcPr>
          <w:p w14:paraId="5E36514F"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64DA3F2E"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23B6AEBD"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2624" w:type="dxa"/>
            <w:shd w:val="clear" w:color="auto" w:fill="auto"/>
            <w:noWrap/>
            <w:hideMark/>
          </w:tcPr>
          <w:p w14:paraId="325A592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4F1A4A56"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61.1%</w:t>
            </w:r>
          </w:p>
        </w:tc>
        <w:tc>
          <w:tcPr>
            <w:tcW w:w="1195" w:type="dxa"/>
            <w:shd w:val="clear" w:color="auto" w:fill="auto"/>
            <w:hideMark/>
          </w:tcPr>
          <w:p w14:paraId="3EA2AF0B"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-16.7%</w:t>
            </w:r>
          </w:p>
        </w:tc>
      </w:tr>
      <w:tr w:rsidR="000414C9" w:rsidRPr="00AC144D" w14:paraId="1D515221" w14:textId="77777777" w:rsidTr="000414C9">
        <w:trPr>
          <w:trHeight w:val="179"/>
        </w:trPr>
        <w:tc>
          <w:tcPr>
            <w:tcW w:w="1473" w:type="dxa"/>
            <w:shd w:val="clear" w:color="auto" w:fill="auto"/>
            <w:noWrap/>
            <w:hideMark/>
          </w:tcPr>
          <w:p w14:paraId="6D37101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74707A33"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1A0CEA7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2624" w:type="dxa"/>
            <w:shd w:val="clear" w:color="auto" w:fill="auto"/>
            <w:noWrap/>
            <w:hideMark/>
          </w:tcPr>
          <w:p w14:paraId="7C8ACAE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73965E7F"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1195" w:type="dxa"/>
            <w:shd w:val="clear" w:color="auto" w:fill="auto"/>
            <w:hideMark/>
          </w:tcPr>
          <w:p w14:paraId="6AB42DE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6E969B46" w14:textId="77777777" w:rsidTr="000414C9">
        <w:trPr>
          <w:trHeight w:val="773"/>
        </w:trPr>
        <w:tc>
          <w:tcPr>
            <w:tcW w:w="1473" w:type="dxa"/>
            <w:shd w:val="clear" w:color="auto" w:fill="auto"/>
            <w:noWrap/>
            <w:hideMark/>
          </w:tcPr>
          <w:p w14:paraId="53C88EB5"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7</w:t>
            </w:r>
          </w:p>
        </w:tc>
        <w:tc>
          <w:tcPr>
            <w:tcW w:w="2281" w:type="dxa"/>
            <w:shd w:val="clear" w:color="auto" w:fill="auto"/>
            <w:hideMark/>
          </w:tcPr>
          <w:p w14:paraId="5017A3F9"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assignments and readings are what I was expecting in a composition course.</w:t>
            </w:r>
          </w:p>
        </w:tc>
        <w:tc>
          <w:tcPr>
            <w:tcW w:w="1261" w:type="dxa"/>
            <w:shd w:val="clear" w:color="auto" w:fill="auto"/>
            <w:hideMark/>
          </w:tcPr>
          <w:p w14:paraId="35FA68B7"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6290057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course helped me understand why writing is important for success in college.</w:t>
            </w:r>
          </w:p>
        </w:tc>
        <w:tc>
          <w:tcPr>
            <w:tcW w:w="1261" w:type="dxa"/>
            <w:shd w:val="clear" w:color="auto" w:fill="auto"/>
            <w:hideMark/>
          </w:tcPr>
          <w:p w14:paraId="4A2F00B9"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083B862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5CBC3CA6" w14:textId="77777777" w:rsidTr="000414C9">
        <w:trPr>
          <w:trHeight w:val="116"/>
        </w:trPr>
        <w:tc>
          <w:tcPr>
            <w:tcW w:w="1473" w:type="dxa"/>
            <w:shd w:val="clear" w:color="auto" w:fill="auto"/>
            <w:noWrap/>
            <w:hideMark/>
          </w:tcPr>
          <w:p w14:paraId="22CFB81B"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15D69809"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64935BE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55.6%</w:t>
            </w:r>
          </w:p>
        </w:tc>
        <w:tc>
          <w:tcPr>
            <w:tcW w:w="2624" w:type="dxa"/>
            <w:shd w:val="clear" w:color="auto" w:fill="auto"/>
            <w:noWrap/>
            <w:hideMark/>
          </w:tcPr>
          <w:p w14:paraId="04395D1A"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27B55A0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1195" w:type="dxa"/>
            <w:shd w:val="clear" w:color="auto" w:fill="auto"/>
            <w:hideMark/>
          </w:tcPr>
          <w:p w14:paraId="734C99FC"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22.2%</w:t>
            </w:r>
          </w:p>
        </w:tc>
      </w:tr>
      <w:tr w:rsidR="000414C9" w:rsidRPr="00AC144D" w14:paraId="40D066FE" w14:textId="77777777" w:rsidTr="000414C9">
        <w:trPr>
          <w:trHeight w:val="143"/>
        </w:trPr>
        <w:tc>
          <w:tcPr>
            <w:tcW w:w="1473" w:type="dxa"/>
            <w:shd w:val="clear" w:color="auto" w:fill="auto"/>
            <w:noWrap/>
            <w:hideMark/>
          </w:tcPr>
          <w:p w14:paraId="3C6F9FEB"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2156DEA1"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1CA77B5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2624" w:type="dxa"/>
            <w:shd w:val="clear" w:color="auto" w:fill="auto"/>
            <w:noWrap/>
            <w:hideMark/>
          </w:tcPr>
          <w:p w14:paraId="6032881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0D9B1CD8"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1195" w:type="dxa"/>
            <w:shd w:val="clear" w:color="auto" w:fill="auto"/>
            <w:hideMark/>
          </w:tcPr>
          <w:p w14:paraId="12AE391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596F90C2" w14:textId="77777777" w:rsidTr="000414C9">
        <w:trPr>
          <w:trHeight w:val="560"/>
        </w:trPr>
        <w:tc>
          <w:tcPr>
            <w:tcW w:w="1473" w:type="dxa"/>
            <w:shd w:val="clear" w:color="auto" w:fill="auto"/>
            <w:noWrap/>
            <w:hideMark/>
          </w:tcPr>
          <w:p w14:paraId="160BF6FE"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8</w:t>
            </w:r>
          </w:p>
        </w:tc>
        <w:tc>
          <w:tcPr>
            <w:tcW w:w="2281" w:type="dxa"/>
            <w:shd w:val="clear" w:color="auto" w:fill="auto"/>
            <w:hideMark/>
          </w:tcPr>
          <w:p w14:paraId="640F2425"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feel the course supports my learning.</w:t>
            </w:r>
          </w:p>
        </w:tc>
        <w:tc>
          <w:tcPr>
            <w:tcW w:w="1261" w:type="dxa"/>
            <w:shd w:val="clear" w:color="auto" w:fill="auto"/>
            <w:hideMark/>
          </w:tcPr>
          <w:p w14:paraId="33EA9049"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48AE0920"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course supported my learning.</w:t>
            </w:r>
          </w:p>
        </w:tc>
        <w:tc>
          <w:tcPr>
            <w:tcW w:w="1261" w:type="dxa"/>
            <w:shd w:val="clear" w:color="auto" w:fill="auto"/>
            <w:hideMark/>
          </w:tcPr>
          <w:p w14:paraId="57A0EAD6"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535E0841"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218F7729" w14:textId="77777777" w:rsidTr="000414C9">
        <w:trPr>
          <w:trHeight w:val="80"/>
        </w:trPr>
        <w:tc>
          <w:tcPr>
            <w:tcW w:w="1473" w:type="dxa"/>
            <w:shd w:val="clear" w:color="auto" w:fill="auto"/>
            <w:noWrap/>
            <w:hideMark/>
          </w:tcPr>
          <w:p w14:paraId="281158F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lastRenderedPageBreak/>
              <w:t>Experimental</w:t>
            </w:r>
          </w:p>
        </w:tc>
        <w:tc>
          <w:tcPr>
            <w:tcW w:w="2281" w:type="dxa"/>
            <w:shd w:val="clear" w:color="auto" w:fill="auto"/>
            <w:noWrap/>
            <w:hideMark/>
          </w:tcPr>
          <w:p w14:paraId="3C8DCFB2"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2765B7B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2624" w:type="dxa"/>
            <w:shd w:val="clear" w:color="auto" w:fill="auto"/>
            <w:noWrap/>
            <w:hideMark/>
          </w:tcPr>
          <w:p w14:paraId="04455EA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744C82C8"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1195" w:type="dxa"/>
            <w:shd w:val="clear" w:color="auto" w:fill="auto"/>
            <w:hideMark/>
          </w:tcPr>
          <w:p w14:paraId="36421E4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0F478662" w14:textId="77777777" w:rsidTr="000414C9">
        <w:trPr>
          <w:trHeight w:val="107"/>
        </w:trPr>
        <w:tc>
          <w:tcPr>
            <w:tcW w:w="1473" w:type="dxa"/>
            <w:shd w:val="clear" w:color="auto" w:fill="auto"/>
            <w:noWrap/>
            <w:hideMark/>
          </w:tcPr>
          <w:p w14:paraId="17DB27A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4D8DF223"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598EFDD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88.9%</w:t>
            </w:r>
          </w:p>
        </w:tc>
        <w:tc>
          <w:tcPr>
            <w:tcW w:w="2624" w:type="dxa"/>
            <w:shd w:val="clear" w:color="auto" w:fill="auto"/>
            <w:noWrap/>
            <w:hideMark/>
          </w:tcPr>
          <w:p w14:paraId="5DACBB67"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469E554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77.8%</w:t>
            </w:r>
          </w:p>
        </w:tc>
        <w:tc>
          <w:tcPr>
            <w:tcW w:w="1195" w:type="dxa"/>
            <w:shd w:val="clear" w:color="auto" w:fill="auto"/>
            <w:hideMark/>
          </w:tcPr>
          <w:p w14:paraId="43397B99"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1E632464" w14:textId="77777777" w:rsidTr="000414C9">
        <w:trPr>
          <w:trHeight w:val="764"/>
        </w:trPr>
        <w:tc>
          <w:tcPr>
            <w:tcW w:w="1473" w:type="dxa"/>
            <w:shd w:val="clear" w:color="auto" w:fill="auto"/>
            <w:noWrap/>
            <w:hideMark/>
          </w:tcPr>
          <w:p w14:paraId="45FB235C"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9</w:t>
            </w:r>
          </w:p>
        </w:tc>
        <w:tc>
          <w:tcPr>
            <w:tcW w:w="2281" w:type="dxa"/>
            <w:shd w:val="clear" w:color="auto" w:fill="auto"/>
            <w:hideMark/>
          </w:tcPr>
          <w:p w14:paraId="4E885E62"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think I will get the grade I am aiming for.</w:t>
            </w:r>
          </w:p>
        </w:tc>
        <w:tc>
          <w:tcPr>
            <w:tcW w:w="1261" w:type="dxa"/>
            <w:shd w:val="clear" w:color="auto" w:fill="auto"/>
            <w:hideMark/>
          </w:tcPr>
          <w:p w14:paraId="6099A6E6" w14:textId="77777777" w:rsidR="00AC144D" w:rsidRPr="00AC144D" w:rsidRDefault="00AC144D" w:rsidP="00AC144D">
            <w:pPr>
              <w:spacing w:after="0" w:line="240" w:lineRule="auto"/>
              <w:rPr>
                <w:rFonts w:ascii="Arial" w:eastAsia="Times New Roman" w:hAnsi="Arial" w:cs="Arial"/>
                <w:b/>
                <w:bCs/>
                <w:color w:val="000000"/>
                <w:sz w:val="20"/>
                <w:szCs w:val="20"/>
              </w:rPr>
            </w:pPr>
          </w:p>
        </w:tc>
        <w:tc>
          <w:tcPr>
            <w:tcW w:w="2624" w:type="dxa"/>
            <w:shd w:val="clear" w:color="auto" w:fill="auto"/>
            <w:hideMark/>
          </w:tcPr>
          <w:p w14:paraId="01A4A278"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I'm confident I'll get the grade I was aiming for at the beginning of the semester.</w:t>
            </w:r>
          </w:p>
        </w:tc>
        <w:tc>
          <w:tcPr>
            <w:tcW w:w="1261" w:type="dxa"/>
            <w:shd w:val="clear" w:color="auto" w:fill="auto"/>
            <w:hideMark/>
          </w:tcPr>
          <w:p w14:paraId="23F99210" w14:textId="77777777" w:rsidR="00AC144D" w:rsidRPr="00AC144D" w:rsidRDefault="00AC144D" w:rsidP="00AC144D">
            <w:pPr>
              <w:spacing w:after="0" w:line="240" w:lineRule="auto"/>
              <w:rPr>
                <w:rFonts w:ascii="Arial" w:eastAsia="Times New Roman" w:hAnsi="Arial" w:cs="Arial"/>
                <w:b/>
                <w:bCs/>
                <w:color w:val="000000"/>
                <w:sz w:val="20"/>
                <w:szCs w:val="20"/>
              </w:rPr>
            </w:pPr>
          </w:p>
        </w:tc>
        <w:tc>
          <w:tcPr>
            <w:tcW w:w="1195" w:type="dxa"/>
            <w:shd w:val="clear" w:color="auto" w:fill="auto"/>
            <w:hideMark/>
          </w:tcPr>
          <w:p w14:paraId="386539B2"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6A175B49" w14:textId="77777777" w:rsidTr="000414C9">
        <w:trPr>
          <w:trHeight w:val="107"/>
        </w:trPr>
        <w:tc>
          <w:tcPr>
            <w:tcW w:w="1473" w:type="dxa"/>
            <w:shd w:val="clear" w:color="auto" w:fill="auto"/>
            <w:noWrap/>
            <w:hideMark/>
          </w:tcPr>
          <w:p w14:paraId="5C77CD78"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7B1256D2"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0999BB8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61.1%</w:t>
            </w:r>
          </w:p>
        </w:tc>
        <w:tc>
          <w:tcPr>
            <w:tcW w:w="2624" w:type="dxa"/>
            <w:shd w:val="clear" w:color="auto" w:fill="auto"/>
            <w:noWrap/>
            <w:hideMark/>
          </w:tcPr>
          <w:p w14:paraId="69BB68C7"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55AF927A"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72.2%</w:t>
            </w:r>
          </w:p>
        </w:tc>
        <w:tc>
          <w:tcPr>
            <w:tcW w:w="1195" w:type="dxa"/>
            <w:shd w:val="clear" w:color="auto" w:fill="auto"/>
            <w:hideMark/>
          </w:tcPr>
          <w:p w14:paraId="4B9339A5"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11.1%</w:t>
            </w:r>
          </w:p>
        </w:tc>
      </w:tr>
      <w:tr w:rsidR="000414C9" w:rsidRPr="00AC144D" w14:paraId="18BB0606" w14:textId="77777777" w:rsidTr="000414C9">
        <w:trPr>
          <w:trHeight w:val="67"/>
        </w:trPr>
        <w:tc>
          <w:tcPr>
            <w:tcW w:w="1473" w:type="dxa"/>
            <w:shd w:val="clear" w:color="auto" w:fill="auto"/>
            <w:noWrap/>
            <w:hideMark/>
          </w:tcPr>
          <w:p w14:paraId="1D15F26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6E0084E5"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24F74997"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88.9%</w:t>
            </w:r>
          </w:p>
        </w:tc>
        <w:tc>
          <w:tcPr>
            <w:tcW w:w="2624" w:type="dxa"/>
            <w:shd w:val="clear" w:color="auto" w:fill="auto"/>
            <w:noWrap/>
            <w:hideMark/>
          </w:tcPr>
          <w:p w14:paraId="3DCEFE3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48FAA3EC"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22.2%</w:t>
            </w:r>
          </w:p>
        </w:tc>
        <w:tc>
          <w:tcPr>
            <w:tcW w:w="1195" w:type="dxa"/>
            <w:shd w:val="clear" w:color="auto" w:fill="auto"/>
            <w:hideMark/>
          </w:tcPr>
          <w:p w14:paraId="526F73D1"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r>
      <w:tr w:rsidR="000414C9" w:rsidRPr="00AC144D" w14:paraId="247FE6D1" w14:textId="77777777" w:rsidTr="000414C9">
        <w:trPr>
          <w:trHeight w:val="431"/>
        </w:trPr>
        <w:tc>
          <w:tcPr>
            <w:tcW w:w="1473" w:type="dxa"/>
            <w:shd w:val="clear" w:color="auto" w:fill="auto"/>
            <w:noWrap/>
            <w:hideMark/>
          </w:tcPr>
          <w:p w14:paraId="59E2D9A3"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Prompt 10</w:t>
            </w:r>
          </w:p>
        </w:tc>
        <w:tc>
          <w:tcPr>
            <w:tcW w:w="2281" w:type="dxa"/>
            <w:shd w:val="clear" w:color="auto" w:fill="auto"/>
            <w:hideMark/>
          </w:tcPr>
          <w:p w14:paraId="6EC42AAA"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I feel this course supports my success in ENGL 1101.</w:t>
            </w:r>
          </w:p>
        </w:tc>
        <w:tc>
          <w:tcPr>
            <w:tcW w:w="1261" w:type="dxa"/>
            <w:shd w:val="clear" w:color="auto" w:fill="auto"/>
            <w:hideMark/>
          </w:tcPr>
          <w:p w14:paraId="76A59D89"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2624" w:type="dxa"/>
            <w:shd w:val="clear" w:color="auto" w:fill="auto"/>
            <w:hideMark/>
          </w:tcPr>
          <w:p w14:paraId="4A99929F"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The course supported my success in ENGL 1101.</w:t>
            </w:r>
          </w:p>
        </w:tc>
        <w:tc>
          <w:tcPr>
            <w:tcW w:w="1261" w:type="dxa"/>
            <w:shd w:val="clear" w:color="auto" w:fill="auto"/>
            <w:hideMark/>
          </w:tcPr>
          <w:p w14:paraId="009AAF5D"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c>
          <w:tcPr>
            <w:tcW w:w="1195" w:type="dxa"/>
            <w:shd w:val="clear" w:color="auto" w:fill="auto"/>
            <w:hideMark/>
          </w:tcPr>
          <w:p w14:paraId="49462ED8" w14:textId="77777777" w:rsidR="00AC144D" w:rsidRPr="00AC144D" w:rsidRDefault="00AC144D" w:rsidP="00AC144D">
            <w:pPr>
              <w:spacing w:after="0" w:line="240" w:lineRule="auto"/>
              <w:rPr>
                <w:rFonts w:ascii="Arial" w:eastAsia="Times New Roman" w:hAnsi="Arial" w:cs="Arial"/>
                <w:b/>
                <w:bCs/>
                <w:color w:val="000000"/>
                <w:sz w:val="20"/>
                <w:szCs w:val="20"/>
              </w:rPr>
            </w:pPr>
            <w:r w:rsidRPr="00AC144D">
              <w:rPr>
                <w:rFonts w:ascii="Arial" w:eastAsia="Times New Roman" w:hAnsi="Arial" w:cs="Arial"/>
                <w:b/>
                <w:bCs/>
                <w:color w:val="000000"/>
                <w:sz w:val="20"/>
                <w:szCs w:val="20"/>
              </w:rPr>
              <w:t> </w:t>
            </w:r>
          </w:p>
        </w:tc>
      </w:tr>
      <w:tr w:rsidR="000414C9" w:rsidRPr="00AC144D" w14:paraId="5EC06635" w14:textId="77777777" w:rsidTr="000414C9">
        <w:trPr>
          <w:trHeight w:val="260"/>
        </w:trPr>
        <w:tc>
          <w:tcPr>
            <w:tcW w:w="1473" w:type="dxa"/>
            <w:shd w:val="clear" w:color="auto" w:fill="auto"/>
            <w:noWrap/>
            <w:hideMark/>
          </w:tcPr>
          <w:p w14:paraId="59C6B6C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Experimental</w:t>
            </w:r>
          </w:p>
        </w:tc>
        <w:tc>
          <w:tcPr>
            <w:tcW w:w="2281" w:type="dxa"/>
            <w:shd w:val="clear" w:color="auto" w:fill="auto"/>
            <w:noWrap/>
            <w:hideMark/>
          </w:tcPr>
          <w:p w14:paraId="375E6B0D" w14:textId="77777777" w:rsidR="00AC144D" w:rsidRPr="00AC144D" w:rsidRDefault="00AC144D" w:rsidP="00AC144D">
            <w:pPr>
              <w:spacing w:after="0" w:line="240" w:lineRule="auto"/>
              <w:rPr>
                <w:rFonts w:ascii="Arial" w:eastAsia="Times New Roman" w:hAnsi="Arial" w:cs="Arial"/>
                <w:color w:val="000000"/>
                <w:sz w:val="20"/>
                <w:szCs w:val="20"/>
              </w:rPr>
            </w:pPr>
          </w:p>
        </w:tc>
        <w:tc>
          <w:tcPr>
            <w:tcW w:w="1261" w:type="dxa"/>
            <w:shd w:val="clear" w:color="auto" w:fill="auto"/>
            <w:hideMark/>
          </w:tcPr>
          <w:p w14:paraId="3C3D9023"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50.0%</w:t>
            </w:r>
          </w:p>
        </w:tc>
        <w:tc>
          <w:tcPr>
            <w:tcW w:w="2624" w:type="dxa"/>
            <w:shd w:val="clear" w:color="auto" w:fill="auto"/>
            <w:noWrap/>
            <w:hideMark/>
          </w:tcPr>
          <w:p w14:paraId="20CF7452"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51AE2CF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1195" w:type="dxa"/>
            <w:shd w:val="clear" w:color="auto" w:fill="auto"/>
            <w:hideMark/>
          </w:tcPr>
          <w:p w14:paraId="21FF6B34"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16.7%</w:t>
            </w:r>
          </w:p>
        </w:tc>
      </w:tr>
      <w:tr w:rsidR="000414C9" w:rsidRPr="00AC144D" w14:paraId="52C18D0B" w14:textId="77777777" w:rsidTr="000414C9">
        <w:trPr>
          <w:trHeight w:val="98"/>
        </w:trPr>
        <w:tc>
          <w:tcPr>
            <w:tcW w:w="1473" w:type="dxa"/>
            <w:shd w:val="clear" w:color="auto" w:fill="auto"/>
            <w:noWrap/>
            <w:hideMark/>
          </w:tcPr>
          <w:p w14:paraId="161DE190"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Control</w:t>
            </w:r>
          </w:p>
        </w:tc>
        <w:tc>
          <w:tcPr>
            <w:tcW w:w="2281" w:type="dxa"/>
            <w:shd w:val="clear" w:color="auto" w:fill="auto"/>
            <w:noWrap/>
            <w:hideMark/>
          </w:tcPr>
          <w:p w14:paraId="136310C8"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5A87765C"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100.0%</w:t>
            </w:r>
          </w:p>
        </w:tc>
        <w:tc>
          <w:tcPr>
            <w:tcW w:w="2624" w:type="dxa"/>
            <w:shd w:val="clear" w:color="auto" w:fill="auto"/>
            <w:noWrap/>
            <w:hideMark/>
          </w:tcPr>
          <w:p w14:paraId="19D49FFC"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 </w:t>
            </w:r>
          </w:p>
        </w:tc>
        <w:tc>
          <w:tcPr>
            <w:tcW w:w="1261" w:type="dxa"/>
            <w:shd w:val="clear" w:color="auto" w:fill="auto"/>
            <w:hideMark/>
          </w:tcPr>
          <w:p w14:paraId="0D0A43FE"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66.7%</w:t>
            </w:r>
          </w:p>
        </w:tc>
        <w:tc>
          <w:tcPr>
            <w:tcW w:w="1195" w:type="dxa"/>
            <w:shd w:val="clear" w:color="auto" w:fill="auto"/>
            <w:hideMark/>
          </w:tcPr>
          <w:p w14:paraId="5DDF18A6" w14:textId="77777777" w:rsidR="00AC144D" w:rsidRPr="00AC144D" w:rsidRDefault="00AC144D" w:rsidP="00AC144D">
            <w:pPr>
              <w:spacing w:after="0" w:line="240" w:lineRule="auto"/>
              <w:rPr>
                <w:rFonts w:ascii="Arial" w:eastAsia="Times New Roman" w:hAnsi="Arial" w:cs="Arial"/>
                <w:color w:val="000000"/>
                <w:sz w:val="20"/>
                <w:szCs w:val="20"/>
              </w:rPr>
            </w:pPr>
            <w:r w:rsidRPr="00AC144D">
              <w:rPr>
                <w:rFonts w:ascii="Arial" w:eastAsia="Times New Roman" w:hAnsi="Arial" w:cs="Arial"/>
                <w:color w:val="000000"/>
                <w:sz w:val="20"/>
                <w:szCs w:val="20"/>
              </w:rPr>
              <w:t>-33.3%</w:t>
            </w:r>
          </w:p>
        </w:tc>
      </w:tr>
    </w:tbl>
    <w:p w14:paraId="03A2A603" w14:textId="77777777" w:rsidR="001D1836" w:rsidRDefault="001D1836" w:rsidP="2DDFD443">
      <w:pPr>
        <w:spacing w:line="257" w:lineRule="auto"/>
      </w:pPr>
    </w:p>
    <w:p w14:paraId="5EF3C98A" w14:textId="405A330F" w:rsidR="00223F0E" w:rsidRPr="003873E1" w:rsidRDefault="003A3A60" w:rsidP="2DDFD443">
      <w:pPr>
        <w:spacing w:line="257" w:lineRule="auto"/>
      </w:pPr>
      <w:r>
        <w:t>Except</w:t>
      </w:r>
      <w:r w:rsidR="00E73D36" w:rsidRPr="003A3A60">
        <w:t xml:space="preserve"> for </w:t>
      </w:r>
      <w:r>
        <w:t>P</w:t>
      </w:r>
      <w:r w:rsidR="002E1EA7" w:rsidRPr="003A3A60">
        <w:t>rompt 1,</w:t>
      </w:r>
      <w:r w:rsidRPr="003A3A60">
        <w:t xml:space="preserve"> </w:t>
      </w:r>
      <w:r w:rsidRPr="00AC144D">
        <w:rPr>
          <w:rFonts w:ascii="Arial" w:eastAsia="Times New Roman" w:hAnsi="Arial" w:cs="Arial"/>
          <w:color w:val="000000"/>
          <w:sz w:val="20"/>
          <w:szCs w:val="20"/>
        </w:rPr>
        <w:t>I find</w:t>
      </w:r>
      <w:r w:rsidRPr="003A3A60">
        <w:rPr>
          <w:rFonts w:ascii="Arial" w:eastAsia="Times New Roman" w:hAnsi="Arial" w:cs="Arial"/>
          <w:color w:val="000000"/>
          <w:sz w:val="20"/>
          <w:szCs w:val="20"/>
        </w:rPr>
        <w:t>/found</w:t>
      </w:r>
      <w:r w:rsidRPr="00AC144D">
        <w:rPr>
          <w:rFonts w:ascii="Arial" w:eastAsia="Times New Roman" w:hAnsi="Arial" w:cs="Arial"/>
          <w:color w:val="000000"/>
          <w:sz w:val="20"/>
          <w:szCs w:val="20"/>
        </w:rPr>
        <w:t xml:space="preserve"> the course organized and accessible</w:t>
      </w:r>
      <w:r w:rsidRPr="003A3A60">
        <w:rPr>
          <w:rFonts w:ascii="Arial" w:eastAsia="Times New Roman" w:hAnsi="Arial" w:cs="Arial"/>
          <w:color w:val="000000"/>
          <w:sz w:val="20"/>
          <w:szCs w:val="20"/>
        </w:rPr>
        <w:t>,”</w:t>
      </w:r>
      <w:r w:rsidR="002E1EA7" w:rsidRPr="003A3A60">
        <w:t xml:space="preserve"> </w:t>
      </w:r>
      <w:r>
        <w:t>P</w:t>
      </w:r>
      <w:r w:rsidR="002E1EA7" w:rsidRPr="003A3A60">
        <w:t>rompt 3,</w:t>
      </w:r>
      <w:r w:rsidRPr="003A3A60">
        <w:rPr>
          <w:rFonts w:ascii="Arial" w:eastAsia="Times New Roman" w:hAnsi="Arial" w:cs="Arial"/>
          <w:color w:val="000000"/>
          <w:sz w:val="20"/>
          <w:szCs w:val="20"/>
        </w:rPr>
        <w:t xml:space="preserve"> </w:t>
      </w:r>
      <w:r w:rsidRPr="00AC144D">
        <w:rPr>
          <w:rFonts w:ascii="Arial" w:eastAsia="Times New Roman" w:hAnsi="Arial" w:cs="Arial"/>
          <w:color w:val="000000"/>
          <w:sz w:val="20"/>
          <w:szCs w:val="20"/>
        </w:rPr>
        <w:t>I expect this course to be easy</w:t>
      </w:r>
      <w:r w:rsidRPr="003A3A60">
        <w:rPr>
          <w:rFonts w:ascii="Arial" w:eastAsia="Times New Roman" w:hAnsi="Arial" w:cs="Arial"/>
          <w:color w:val="000000"/>
          <w:sz w:val="20"/>
          <w:szCs w:val="20"/>
        </w:rPr>
        <w:t>/The course was as easy as I expected it to be,</w:t>
      </w:r>
      <w:r w:rsidR="002E1EA7" w:rsidRPr="003A3A60">
        <w:t xml:space="preserve"> </w:t>
      </w:r>
      <w:r w:rsidR="002E1EA7">
        <w:t xml:space="preserve">and </w:t>
      </w:r>
      <w:r>
        <w:t>P</w:t>
      </w:r>
      <w:r w:rsidR="00E73D36">
        <w:t xml:space="preserve">rompt 6, “The instructions help/helped me understand what I’m supposed to do,” the </w:t>
      </w:r>
      <w:r>
        <w:t>e</w:t>
      </w:r>
      <w:r w:rsidR="00E73D36">
        <w:t>xperimental group saw an increase i</w:t>
      </w:r>
      <w:r w:rsidR="002E1EA7">
        <w:t>n</w:t>
      </w:r>
      <w:r w:rsidR="00E73D36">
        <w:t xml:space="preserve"> agreement pre-to-post, while </w:t>
      </w:r>
      <w:r w:rsidR="002E1EA7">
        <w:t>the control group saw a decrease.</w:t>
      </w:r>
      <w:r>
        <w:t xml:space="preserve"> For Prompt 1, the experimental group saw no change in agreement, while the control saw a decrease in agreement. For Prompt 3, </w:t>
      </w:r>
      <w:r w:rsidR="007C58DB">
        <w:t xml:space="preserve">the experimental group saw an increase in agreement, while the control group saw no change. For Prompt 6, the experimental group </w:t>
      </w:r>
      <w:r w:rsidR="00223F0E">
        <w:t>saw a greater decrease in agreement than was seen in the control group.</w:t>
      </w:r>
    </w:p>
    <w:p w14:paraId="38132B8A" w14:textId="3E1DC8F7" w:rsidR="245991DD" w:rsidRDefault="00F70D85" w:rsidP="2DDFD443">
      <w:pPr>
        <w:shd w:val="clear" w:color="auto" w:fill="FFFFFF" w:themeFill="background1"/>
        <w:spacing w:before="300" w:after="300" w:line="257" w:lineRule="auto"/>
      </w:pPr>
      <w:r>
        <w:rPr>
          <w:rFonts w:ascii="Calibri" w:eastAsia="Calibri" w:hAnsi="Calibri" w:cs="Calibri"/>
          <w:color w:val="000000" w:themeColor="text1"/>
          <w:sz w:val="24"/>
          <w:szCs w:val="24"/>
          <w:u w:val="single"/>
        </w:rPr>
        <w:t>Qualitative Learning Outcomes Assessment of Writing Proficiency Using S</w:t>
      </w:r>
      <w:r w:rsidR="245991DD" w:rsidRPr="2DDFD443">
        <w:rPr>
          <w:rFonts w:ascii="Calibri" w:eastAsia="Calibri" w:hAnsi="Calibri" w:cs="Calibri"/>
          <w:color w:val="000000" w:themeColor="text1"/>
          <w:sz w:val="24"/>
          <w:szCs w:val="24"/>
          <w:u w:val="single"/>
        </w:rPr>
        <w:t>tudent Learning and Licensure (SL&amp;L)</w:t>
      </w:r>
      <w:r>
        <w:rPr>
          <w:rFonts w:ascii="Calibri" w:eastAsia="Calibri" w:hAnsi="Calibri" w:cs="Calibri"/>
          <w:color w:val="000000" w:themeColor="text1"/>
          <w:sz w:val="24"/>
          <w:szCs w:val="24"/>
          <w:u w:val="single"/>
        </w:rPr>
        <w:t xml:space="preserve"> </w:t>
      </w:r>
      <w:proofErr w:type="spellStart"/>
      <w:r>
        <w:rPr>
          <w:rFonts w:ascii="Calibri" w:eastAsia="Calibri" w:hAnsi="Calibri" w:cs="Calibri"/>
          <w:color w:val="000000" w:themeColor="text1"/>
          <w:sz w:val="24"/>
          <w:szCs w:val="24"/>
          <w:u w:val="single"/>
        </w:rPr>
        <w:t>ePortfolio</w:t>
      </w:r>
      <w:proofErr w:type="spellEnd"/>
      <w:r>
        <w:rPr>
          <w:rFonts w:ascii="Calibri" w:eastAsia="Calibri" w:hAnsi="Calibri" w:cs="Calibri"/>
          <w:color w:val="000000" w:themeColor="text1"/>
          <w:sz w:val="24"/>
          <w:szCs w:val="24"/>
          <w:u w:val="single"/>
        </w:rPr>
        <w:t xml:space="preserve"> platform</w:t>
      </w:r>
    </w:p>
    <w:p w14:paraId="19E86665" w14:textId="34B5137C" w:rsidR="6785ADFE" w:rsidRDefault="245991DD" w:rsidP="20EDD713">
      <w:pPr>
        <w:spacing w:after="0"/>
        <w:rPr>
          <w:sz w:val="24"/>
          <w:szCs w:val="24"/>
        </w:rPr>
      </w:pPr>
      <w:r w:rsidRPr="20EDD713">
        <w:rPr>
          <w:rFonts w:ascii="Calibri" w:eastAsia="Calibri" w:hAnsi="Calibri" w:cs="Calibri"/>
          <w:sz w:val="24"/>
          <w:szCs w:val="24"/>
        </w:rPr>
        <w:t xml:space="preserve">The rubric we used for assessing the </w:t>
      </w:r>
      <w:r w:rsidR="5C37B976" w:rsidRPr="20EDD713">
        <w:rPr>
          <w:rFonts w:ascii="Calibri" w:eastAsia="Calibri" w:hAnsi="Calibri" w:cs="Calibri"/>
          <w:sz w:val="24"/>
          <w:szCs w:val="24"/>
        </w:rPr>
        <w:t xml:space="preserve">English Support </w:t>
      </w:r>
      <w:r w:rsidRPr="20EDD713">
        <w:rPr>
          <w:rFonts w:ascii="Calibri" w:eastAsia="Calibri" w:hAnsi="Calibri" w:cs="Calibri"/>
          <w:sz w:val="24"/>
          <w:szCs w:val="24"/>
        </w:rPr>
        <w:t xml:space="preserve">Composition </w:t>
      </w:r>
      <w:r w:rsidR="050905D6" w:rsidRPr="20EDD713">
        <w:rPr>
          <w:rFonts w:ascii="Calibri" w:eastAsia="Calibri" w:hAnsi="Calibri" w:cs="Calibri"/>
          <w:sz w:val="24"/>
          <w:szCs w:val="24"/>
        </w:rPr>
        <w:t>999</w:t>
      </w:r>
      <w:r w:rsidRPr="20EDD713">
        <w:rPr>
          <w:rFonts w:ascii="Calibri" w:eastAsia="Calibri" w:hAnsi="Calibri" w:cs="Calibri"/>
          <w:sz w:val="24"/>
          <w:szCs w:val="24"/>
        </w:rPr>
        <w:t xml:space="preserve"> </w:t>
      </w:r>
      <w:r w:rsidR="51F50E4F" w:rsidRPr="20EDD713">
        <w:rPr>
          <w:sz w:val="24"/>
          <w:szCs w:val="24"/>
        </w:rPr>
        <w:t>measured the following outcomes:</w:t>
      </w:r>
    </w:p>
    <w:p w14:paraId="5C699D81" w14:textId="433A4EE0" w:rsidR="2DDFD443" w:rsidRDefault="2DDFD443" w:rsidP="20EDD713">
      <w:pPr>
        <w:spacing w:after="0"/>
        <w:rPr>
          <w:sz w:val="24"/>
          <w:szCs w:val="24"/>
        </w:rPr>
      </w:pPr>
    </w:p>
    <w:p w14:paraId="26D7757B" w14:textId="30AF457A" w:rsidR="2DDFD443" w:rsidRDefault="51F50E4F" w:rsidP="20EDD713">
      <w:pPr>
        <w:widowControl w:val="0"/>
        <w:spacing w:line="247" w:lineRule="auto"/>
        <w:rPr>
          <w:rFonts w:ascii="Calibri" w:eastAsia="Calibri" w:hAnsi="Calibri" w:cs="Calibri"/>
          <w:color w:val="000000" w:themeColor="text1"/>
          <w:sz w:val="24"/>
          <w:szCs w:val="24"/>
        </w:rPr>
      </w:pPr>
      <w:r w:rsidRPr="20EDD713">
        <w:rPr>
          <w:rFonts w:ascii="Calibri" w:eastAsia="Calibri" w:hAnsi="Calibri" w:cs="Calibri"/>
          <w:i/>
          <w:iCs/>
          <w:color w:val="000000" w:themeColor="text1"/>
          <w:sz w:val="24"/>
          <w:szCs w:val="24"/>
        </w:rPr>
        <w:t>Students who successfully complete this course will be able to:</w:t>
      </w:r>
    </w:p>
    <w:p w14:paraId="17C9FDB7" w14:textId="3B740249" w:rsidR="2DDFD443" w:rsidRDefault="51F50E4F" w:rsidP="20EDD713">
      <w:pPr>
        <w:pStyle w:val="ListParagraph"/>
        <w:numPr>
          <w:ilvl w:val="0"/>
          <w:numId w:val="23"/>
        </w:numPr>
        <w:spacing w:after="0" w:line="240" w:lineRule="auto"/>
        <w:rPr>
          <w:rFonts w:ascii="Calibri" w:eastAsia="Calibri" w:hAnsi="Calibri" w:cs="Calibri"/>
          <w:color w:val="000000" w:themeColor="text1"/>
          <w:sz w:val="24"/>
          <w:szCs w:val="24"/>
        </w:rPr>
      </w:pPr>
      <w:r w:rsidRPr="20EDD713">
        <w:rPr>
          <w:rFonts w:ascii="Calibri" w:eastAsia="Calibri" w:hAnsi="Calibri" w:cs="Calibri"/>
          <w:color w:val="000000" w:themeColor="text1"/>
          <w:sz w:val="24"/>
          <w:szCs w:val="24"/>
        </w:rPr>
        <w:t>Write whole essays with clear thesis statements, and coherent and unified paragraphs</w:t>
      </w:r>
    </w:p>
    <w:p w14:paraId="158169AA" w14:textId="2E6F9822" w:rsidR="2DDFD443" w:rsidRDefault="51F50E4F" w:rsidP="20EDD713">
      <w:pPr>
        <w:pStyle w:val="ListParagraph"/>
        <w:numPr>
          <w:ilvl w:val="0"/>
          <w:numId w:val="23"/>
        </w:numPr>
        <w:spacing w:after="0" w:line="240" w:lineRule="auto"/>
        <w:rPr>
          <w:rFonts w:ascii="Calibri" w:eastAsia="Calibri" w:hAnsi="Calibri" w:cs="Calibri"/>
          <w:color w:val="000000" w:themeColor="text1"/>
          <w:sz w:val="24"/>
          <w:szCs w:val="24"/>
        </w:rPr>
      </w:pPr>
      <w:r w:rsidRPr="20EDD713">
        <w:rPr>
          <w:rFonts w:ascii="Calibri" w:eastAsia="Calibri" w:hAnsi="Calibri" w:cs="Calibri"/>
          <w:color w:val="000000" w:themeColor="text1"/>
          <w:sz w:val="24"/>
          <w:szCs w:val="24"/>
        </w:rPr>
        <w:t>Think critically and support their thinking with details, examples, reasons, and evidence</w:t>
      </w:r>
    </w:p>
    <w:p w14:paraId="36358645" w14:textId="7B6765DA" w:rsidR="2DDFD443" w:rsidRDefault="51F50E4F" w:rsidP="20EDD713">
      <w:pPr>
        <w:pStyle w:val="ListParagraph"/>
        <w:numPr>
          <w:ilvl w:val="0"/>
          <w:numId w:val="23"/>
        </w:numPr>
        <w:spacing w:after="0" w:line="240" w:lineRule="auto"/>
        <w:rPr>
          <w:rFonts w:ascii="Calibri" w:eastAsia="Calibri" w:hAnsi="Calibri" w:cs="Calibri"/>
          <w:color w:val="000000" w:themeColor="text1"/>
          <w:sz w:val="24"/>
          <w:szCs w:val="24"/>
        </w:rPr>
      </w:pPr>
      <w:r w:rsidRPr="20EDD713">
        <w:rPr>
          <w:rFonts w:ascii="Calibri" w:eastAsia="Calibri" w:hAnsi="Calibri" w:cs="Calibri"/>
          <w:color w:val="000000" w:themeColor="text1"/>
          <w:sz w:val="24"/>
          <w:szCs w:val="24"/>
        </w:rPr>
        <w:t>Edit their writing to conform to the grammar, punctuation rules of standard written English</w:t>
      </w:r>
    </w:p>
    <w:p w14:paraId="3C95BC08" w14:textId="1E70A0F1" w:rsidR="2DDFD443" w:rsidRDefault="2DDFD443" w:rsidP="20EDD713">
      <w:pPr>
        <w:spacing w:after="0"/>
        <w:rPr>
          <w:sz w:val="24"/>
          <w:szCs w:val="24"/>
        </w:rPr>
      </w:pPr>
    </w:p>
    <w:p w14:paraId="14258A67" w14:textId="16699CBA" w:rsidR="2DDFD443" w:rsidRDefault="5AD88B41" w:rsidP="20EDD713">
      <w:pPr>
        <w:spacing w:after="0"/>
        <w:rPr>
          <w:rFonts w:ascii="Calibri" w:eastAsia="Calibri" w:hAnsi="Calibri" w:cs="Calibri"/>
          <w:sz w:val="24"/>
          <w:szCs w:val="24"/>
        </w:rPr>
      </w:pPr>
      <w:r w:rsidRPr="20EDD713">
        <w:rPr>
          <w:rFonts w:ascii="Calibri" w:eastAsia="Calibri" w:hAnsi="Calibri" w:cs="Calibri"/>
          <w:sz w:val="24"/>
          <w:szCs w:val="24"/>
        </w:rPr>
        <w:t>Fall 2024</w:t>
      </w:r>
      <w:r w:rsidR="6821AEE0" w:rsidRPr="20EDD713">
        <w:rPr>
          <w:rFonts w:ascii="Calibri" w:eastAsia="Calibri" w:hAnsi="Calibri" w:cs="Calibri"/>
          <w:sz w:val="24"/>
          <w:szCs w:val="24"/>
        </w:rPr>
        <w:t xml:space="preserve"> students were scored on five to three levels and according to three criteria (Rhetorical Awareness, Critical Thinking, </w:t>
      </w:r>
      <w:r w:rsidR="565D027E" w:rsidRPr="20EDD713">
        <w:rPr>
          <w:rFonts w:ascii="Calibri" w:eastAsia="Calibri" w:hAnsi="Calibri" w:cs="Calibri"/>
          <w:sz w:val="24"/>
          <w:szCs w:val="24"/>
        </w:rPr>
        <w:t>and Revision)</w:t>
      </w:r>
      <w:r w:rsidR="6821AEE0" w:rsidRPr="20EDD713">
        <w:rPr>
          <w:rFonts w:ascii="Calibri" w:eastAsia="Calibri" w:hAnsi="Calibri" w:cs="Calibri"/>
          <w:sz w:val="24"/>
          <w:szCs w:val="24"/>
        </w:rPr>
        <w:t>.</w:t>
      </w:r>
    </w:p>
    <w:p w14:paraId="35319C66" w14:textId="7B5D59E0" w:rsidR="2DDFD443" w:rsidRDefault="2DDFD443" w:rsidP="20EDD713">
      <w:pPr>
        <w:spacing w:after="0"/>
        <w:rPr>
          <w:sz w:val="24"/>
          <w:szCs w:val="24"/>
        </w:rPr>
      </w:pPr>
    </w:p>
    <w:p w14:paraId="41C8D97D" w14:textId="6B090DE3" w:rsidR="29F69001" w:rsidRDefault="29F69001" w:rsidP="2DDFD443">
      <w:pPr>
        <w:spacing w:after="0"/>
      </w:pPr>
      <w:r>
        <w:rPr>
          <w:noProof/>
        </w:rPr>
        <w:lastRenderedPageBreak/>
        <w:drawing>
          <wp:inline distT="0" distB="0" distL="0" distR="0" wp14:anchorId="24FA9088" wp14:editId="1A0878B4">
            <wp:extent cx="5943600" cy="3486150"/>
            <wp:effectExtent l="0" t="0" r="0" b="0"/>
            <wp:docPr id="836005656" name="Picture 836005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5943600" cy="3486150"/>
                    </a:xfrm>
                    <a:prstGeom prst="rect">
                      <a:avLst/>
                    </a:prstGeom>
                  </pic:spPr>
                </pic:pic>
              </a:graphicData>
            </a:graphic>
          </wp:inline>
        </w:drawing>
      </w:r>
    </w:p>
    <w:p w14:paraId="3DF1D956" w14:textId="1C872DA9" w:rsidR="2DDFD443" w:rsidRDefault="2DDFD443" w:rsidP="2DDFD443">
      <w:pPr>
        <w:rPr>
          <w:b/>
          <w:bCs/>
          <w:i/>
          <w:iCs/>
          <w:sz w:val="24"/>
          <w:szCs w:val="24"/>
        </w:rPr>
      </w:pPr>
    </w:p>
    <w:p w14:paraId="1434212E" w14:textId="01067966" w:rsidR="590EA564" w:rsidRDefault="590EA564" w:rsidP="2DDFD443">
      <w:pPr>
        <w:rPr>
          <w:b/>
          <w:bCs/>
          <w:sz w:val="24"/>
          <w:szCs w:val="24"/>
        </w:rPr>
      </w:pPr>
      <w:r w:rsidRPr="2DDFD443">
        <w:rPr>
          <w:b/>
          <w:bCs/>
          <w:sz w:val="24"/>
          <w:szCs w:val="24"/>
        </w:rPr>
        <w:t>Results for ENGL Support Composition (999)</w:t>
      </w:r>
    </w:p>
    <w:p w14:paraId="1CE2DCFB" w14:textId="08C34684" w:rsidR="590EA564" w:rsidRDefault="590EA564">
      <w:r>
        <w:rPr>
          <w:noProof/>
        </w:rPr>
        <w:drawing>
          <wp:inline distT="0" distB="0" distL="0" distR="0" wp14:anchorId="4608950C" wp14:editId="4BED74D3">
            <wp:extent cx="5943600" cy="981075"/>
            <wp:effectExtent l="0" t="0" r="0" b="0"/>
            <wp:docPr id="1637369329" name="Picture 163736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943600" cy="981075"/>
                    </a:xfrm>
                    <a:prstGeom prst="rect">
                      <a:avLst/>
                    </a:prstGeom>
                  </pic:spPr>
                </pic:pic>
              </a:graphicData>
            </a:graphic>
          </wp:inline>
        </w:drawing>
      </w:r>
    </w:p>
    <w:p w14:paraId="53781FD3" w14:textId="00449BE7" w:rsidR="590EA564" w:rsidRDefault="590EA564" w:rsidP="2DDFD443">
      <w:pPr>
        <w:pStyle w:val="ListParagraph"/>
        <w:numPr>
          <w:ilvl w:val="0"/>
          <w:numId w:val="25"/>
        </w:numPr>
        <w:spacing w:before="240" w:after="240"/>
        <w:rPr>
          <w:rFonts w:ascii="Calibri" w:eastAsia="Calibri" w:hAnsi="Calibri" w:cs="Calibri"/>
          <w:sz w:val="24"/>
          <w:szCs w:val="24"/>
        </w:rPr>
      </w:pPr>
      <w:r w:rsidRPr="2DDFD443">
        <w:rPr>
          <w:rFonts w:ascii="Calibri" w:eastAsia="Calibri" w:hAnsi="Calibri" w:cs="Calibri"/>
          <w:sz w:val="24"/>
          <w:szCs w:val="24"/>
        </w:rPr>
        <w:t>Sample Size: The Control group (N=484) is much larger than the Experimental group (N=188), which may increase the reliability of its average.</w:t>
      </w:r>
    </w:p>
    <w:p w14:paraId="1AE7146F" w14:textId="62B0D3FA" w:rsidR="590EA564" w:rsidRDefault="590EA564" w:rsidP="2DDFD443">
      <w:pPr>
        <w:pStyle w:val="ListParagraph"/>
        <w:numPr>
          <w:ilvl w:val="0"/>
          <w:numId w:val="25"/>
        </w:numPr>
        <w:spacing w:before="240" w:after="240"/>
        <w:rPr>
          <w:rFonts w:ascii="Calibri" w:eastAsia="Calibri" w:hAnsi="Calibri" w:cs="Calibri"/>
          <w:sz w:val="24"/>
          <w:szCs w:val="24"/>
        </w:rPr>
      </w:pPr>
      <w:r w:rsidRPr="2DDFD443">
        <w:rPr>
          <w:rFonts w:ascii="Calibri" w:eastAsia="Calibri" w:hAnsi="Calibri" w:cs="Calibri"/>
          <w:sz w:val="24"/>
          <w:szCs w:val="24"/>
        </w:rPr>
        <w:t>Mean: The Experimental group has a slightly higher mean score (10.69 vs. 10.56), indicating a small improvement in performance.</w:t>
      </w:r>
    </w:p>
    <w:p w14:paraId="14C6B083" w14:textId="72D0E72B" w:rsidR="590EA564" w:rsidRDefault="590EA564" w:rsidP="2DDFD443">
      <w:pPr>
        <w:pStyle w:val="ListParagraph"/>
        <w:numPr>
          <w:ilvl w:val="0"/>
          <w:numId w:val="25"/>
        </w:numPr>
        <w:spacing w:before="240" w:after="240"/>
        <w:rPr>
          <w:rFonts w:ascii="Calibri" w:eastAsia="Calibri" w:hAnsi="Calibri" w:cs="Calibri"/>
          <w:sz w:val="24"/>
          <w:szCs w:val="24"/>
        </w:rPr>
      </w:pPr>
      <w:r w:rsidRPr="2DDFD443">
        <w:rPr>
          <w:rFonts w:ascii="Calibri" w:eastAsia="Calibri" w:hAnsi="Calibri" w:cs="Calibri"/>
          <w:sz w:val="24"/>
          <w:szCs w:val="24"/>
        </w:rPr>
        <w:t>Standard Deviation: The Experimental group has a slightly lower standard deviation (1.77 vs. 1.93), suggesting scores were slightly more consistent among those students.</w:t>
      </w:r>
    </w:p>
    <w:p w14:paraId="0AA438C2" w14:textId="42676CB1" w:rsidR="590EA564" w:rsidRDefault="590EA564" w:rsidP="20EDD713">
      <w:pPr>
        <w:pStyle w:val="Heading3"/>
        <w:spacing w:before="281" w:after="281"/>
        <w:rPr>
          <w:rFonts w:ascii="Calibri" w:eastAsia="Calibri" w:hAnsi="Calibri" w:cs="Calibri"/>
          <w:color w:val="auto"/>
          <w:u w:val="single"/>
        </w:rPr>
      </w:pPr>
      <w:r w:rsidRPr="20EDD713">
        <w:rPr>
          <w:rFonts w:ascii="Calibri" w:eastAsia="Calibri" w:hAnsi="Calibri" w:cs="Calibri"/>
          <w:color w:val="auto"/>
          <w:u w:val="single"/>
        </w:rPr>
        <w:t>Interpretation</w:t>
      </w:r>
    </w:p>
    <w:p w14:paraId="45070ED7" w14:textId="441FC31E" w:rsidR="590EA564" w:rsidRDefault="590EA564" w:rsidP="2DDFD443">
      <w:pPr>
        <w:spacing w:before="240" w:after="240"/>
      </w:pPr>
      <w:r w:rsidRPr="20EDD713">
        <w:rPr>
          <w:rFonts w:ascii="Calibri" w:eastAsia="Calibri" w:hAnsi="Calibri" w:cs="Calibri"/>
          <w:sz w:val="24"/>
          <w:szCs w:val="24"/>
        </w:rPr>
        <w:t>The experimental intervention may have led to a small improvement in assessment outcomes and slightly more consistent performance, but the differences are minor. Statistical significance would need to be tested to determine if these differences are meaningful.</w:t>
      </w:r>
    </w:p>
    <w:p w14:paraId="793C3D4E" w14:textId="4A8B4B4E" w:rsidR="2DDFD443" w:rsidRDefault="6415E05C" w:rsidP="20EDD713">
      <w:pPr>
        <w:shd w:val="clear" w:color="auto" w:fill="FFFFFF" w:themeFill="background1"/>
        <w:spacing w:line="257" w:lineRule="auto"/>
      </w:pPr>
      <w:r w:rsidRPr="20EDD713">
        <w:rPr>
          <w:rFonts w:ascii="Calibri" w:eastAsia="Calibri" w:hAnsi="Calibri" w:cs="Calibri"/>
          <w:color w:val="000000" w:themeColor="text1"/>
          <w:sz w:val="24"/>
          <w:szCs w:val="24"/>
          <w:u w:val="single"/>
        </w:rPr>
        <w:t>Institutional Data</w:t>
      </w:r>
    </w:p>
    <w:p w14:paraId="63B1A5AB" w14:textId="6A8651CF" w:rsidR="2DDFD443" w:rsidRDefault="6415E05C" w:rsidP="20EDD713">
      <w:pPr>
        <w:spacing w:after="0"/>
      </w:pPr>
      <w:r w:rsidRPr="20EDD713">
        <w:rPr>
          <w:rFonts w:ascii="Calibri" w:eastAsia="Calibri" w:hAnsi="Calibri" w:cs="Calibri"/>
          <w:sz w:val="24"/>
          <w:szCs w:val="24"/>
        </w:rPr>
        <w:lastRenderedPageBreak/>
        <w:t>We also looked at institutional data reflecting student performance in terms of course grades. In the study conducted across multiple sections, both experimental and control groups were evaluated to assess student performance. This student sample is smaller than the SL&amp;L sample as we only looked at data of students who completed the IRB consent form.</w:t>
      </w:r>
    </w:p>
    <w:p w14:paraId="31303B7D" w14:textId="0F7070A4" w:rsidR="2DDFD443" w:rsidRDefault="2DDFD443" w:rsidP="20EDD713">
      <w:pPr>
        <w:spacing w:after="0"/>
        <w:rPr>
          <w:rFonts w:ascii="Calibri" w:eastAsia="Calibri" w:hAnsi="Calibri" w:cs="Calibri"/>
          <w:sz w:val="24"/>
          <w:szCs w:val="24"/>
        </w:rPr>
      </w:pPr>
    </w:p>
    <w:p w14:paraId="08599196" w14:textId="656BB2E3" w:rsidR="2DDFD443" w:rsidRDefault="6415E05C" w:rsidP="20EDD713">
      <w:pPr>
        <w:spacing w:after="0"/>
        <w:rPr>
          <w:rFonts w:ascii="Calibri" w:eastAsia="Calibri" w:hAnsi="Calibri" w:cs="Calibri"/>
          <w:sz w:val="24"/>
          <w:szCs w:val="24"/>
        </w:rPr>
      </w:pPr>
      <w:r w:rsidRPr="572EA639">
        <w:rPr>
          <w:rFonts w:ascii="Calibri" w:eastAsia="Calibri" w:hAnsi="Calibri" w:cs="Calibri"/>
          <w:sz w:val="24"/>
          <w:szCs w:val="24"/>
        </w:rPr>
        <w:t>The following table provides most of the metrics pertaining to overall course success. It shows that in terms of pass rate, average end-of-course-GPA, and withdrawal rate (something new for this year), Experimental sections (that is, the ones using the template) outperformed those that did not.</w:t>
      </w:r>
    </w:p>
    <w:p w14:paraId="6F6DA305" w14:textId="2B6B9F69" w:rsidR="4658C20A" w:rsidRDefault="4658C20A" w:rsidP="572EA639">
      <w:pPr>
        <w:spacing w:before="240" w:after="240"/>
      </w:pPr>
      <w:r>
        <w:rPr>
          <w:noProof/>
        </w:rPr>
        <w:drawing>
          <wp:inline distT="0" distB="0" distL="0" distR="0" wp14:anchorId="37083CEC" wp14:editId="2391ED59">
            <wp:extent cx="5943600" cy="2143125"/>
            <wp:effectExtent l="0" t="0" r="0" b="0"/>
            <wp:docPr id="1188696593" name="Picture 1188696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5943600" cy="2143125"/>
                    </a:xfrm>
                    <a:prstGeom prst="rect">
                      <a:avLst/>
                    </a:prstGeom>
                  </pic:spPr>
                </pic:pic>
              </a:graphicData>
            </a:graphic>
          </wp:inline>
        </w:drawing>
      </w:r>
    </w:p>
    <w:p w14:paraId="295001EE" w14:textId="57A40525" w:rsidR="2DDFD443" w:rsidRDefault="04155695" w:rsidP="20EDD713">
      <w:pPr>
        <w:rPr>
          <w:sz w:val="24"/>
          <w:szCs w:val="24"/>
        </w:rPr>
      </w:pPr>
      <w:r w:rsidRPr="572EA639">
        <w:rPr>
          <w:sz w:val="24"/>
          <w:szCs w:val="24"/>
          <w:u w:val="single"/>
        </w:rPr>
        <w:t>Findings</w:t>
      </w:r>
    </w:p>
    <w:p w14:paraId="3D4B9990" w14:textId="136291C7" w:rsidR="2DDFD443" w:rsidRDefault="4999A647" w:rsidP="572EA639">
      <w:pPr>
        <w:rPr>
          <w:rFonts w:ascii="Calibri" w:eastAsia="Calibri" w:hAnsi="Calibri" w:cs="Calibri"/>
          <w:sz w:val="24"/>
          <w:szCs w:val="24"/>
        </w:rPr>
      </w:pPr>
      <w:r w:rsidRPr="572EA639">
        <w:rPr>
          <w:rFonts w:ascii="Calibri" w:eastAsia="Calibri" w:hAnsi="Calibri" w:cs="Calibri"/>
          <w:b/>
          <w:bCs/>
          <w:sz w:val="24"/>
          <w:szCs w:val="24"/>
        </w:rPr>
        <w:t>ENGL-0999 (Learning Support Course Only)</w:t>
      </w:r>
    </w:p>
    <w:tbl>
      <w:tblPr>
        <w:tblW w:w="0" w:type="auto"/>
        <w:tblLayout w:type="fixed"/>
        <w:tblLook w:val="06A0" w:firstRow="1" w:lastRow="0" w:firstColumn="1" w:lastColumn="0" w:noHBand="1" w:noVBand="1"/>
      </w:tblPr>
      <w:tblGrid>
        <w:gridCol w:w="2076"/>
        <w:gridCol w:w="2550"/>
        <w:gridCol w:w="1946"/>
        <w:gridCol w:w="1445"/>
      </w:tblGrid>
      <w:tr w:rsidR="572EA639" w14:paraId="7B6E6582" w14:textId="77777777" w:rsidTr="572EA639">
        <w:trPr>
          <w:trHeight w:val="300"/>
        </w:trPr>
        <w:tc>
          <w:tcPr>
            <w:tcW w:w="2076" w:type="dxa"/>
            <w:vAlign w:val="center"/>
          </w:tcPr>
          <w:p w14:paraId="31D70A05" w14:textId="0D4F19CA" w:rsidR="572EA639" w:rsidRDefault="572EA639" w:rsidP="572EA639">
            <w:pPr>
              <w:spacing w:after="0"/>
              <w:jc w:val="center"/>
            </w:pPr>
            <w:r>
              <w:t>Metric</w:t>
            </w:r>
          </w:p>
        </w:tc>
        <w:tc>
          <w:tcPr>
            <w:tcW w:w="2550" w:type="dxa"/>
            <w:vAlign w:val="center"/>
          </w:tcPr>
          <w:p w14:paraId="225EB36C" w14:textId="00CA14CF" w:rsidR="572EA639" w:rsidRDefault="572EA639" w:rsidP="572EA639">
            <w:pPr>
              <w:spacing w:after="0"/>
              <w:jc w:val="center"/>
            </w:pPr>
            <w:r>
              <w:t>Experimental (n=124)</w:t>
            </w:r>
          </w:p>
        </w:tc>
        <w:tc>
          <w:tcPr>
            <w:tcW w:w="1946" w:type="dxa"/>
            <w:vAlign w:val="center"/>
          </w:tcPr>
          <w:p w14:paraId="51F922A5" w14:textId="0EFB2FB1" w:rsidR="572EA639" w:rsidRDefault="572EA639" w:rsidP="572EA639">
            <w:pPr>
              <w:spacing w:after="0"/>
              <w:jc w:val="center"/>
            </w:pPr>
            <w:r>
              <w:t>Control (n=222)</w:t>
            </w:r>
          </w:p>
        </w:tc>
        <w:tc>
          <w:tcPr>
            <w:tcW w:w="1445" w:type="dxa"/>
            <w:vAlign w:val="center"/>
          </w:tcPr>
          <w:p w14:paraId="658EA1BD" w14:textId="1D80240C" w:rsidR="572EA639" w:rsidRDefault="572EA639" w:rsidP="572EA639">
            <w:pPr>
              <w:spacing w:after="0"/>
              <w:jc w:val="center"/>
            </w:pPr>
            <w:r>
              <w:t>Difference</w:t>
            </w:r>
          </w:p>
        </w:tc>
      </w:tr>
      <w:tr w:rsidR="572EA639" w14:paraId="74BDD748" w14:textId="77777777" w:rsidTr="572EA639">
        <w:trPr>
          <w:trHeight w:val="300"/>
        </w:trPr>
        <w:tc>
          <w:tcPr>
            <w:tcW w:w="2076" w:type="dxa"/>
            <w:vAlign w:val="center"/>
          </w:tcPr>
          <w:p w14:paraId="30EA8DA7" w14:textId="3B1F63C3" w:rsidR="572EA639" w:rsidRDefault="572EA639" w:rsidP="572EA639">
            <w:pPr>
              <w:spacing w:after="0"/>
            </w:pPr>
            <w:r>
              <w:t>GPA</w:t>
            </w:r>
          </w:p>
        </w:tc>
        <w:tc>
          <w:tcPr>
            <w:tcW w:w="2550" w:type="dxa"/>
            <w:vAlign w:val="center"/>
          </w:tcPr>
          <w:p w14:paraId="46D934FD" w14:textId="6B99A16B" w:rsidR="572EA639" w:rsidRDefault="572EA639" w:rsidP="572EA639">
            <w:pPr>
              <w:spacing w:after="0"/>
              <w:ind w:left="720"/>
            </w:pPr>
            <w:r>
              <w:t>2.19</w:t>
            </w:r>
          </w:p>
        </w:tc>
        <w:tc>
          <w:tcPr>
            <w:tcW w:w="1946" w:type="dxa"/>
            <w:vAlign w:val="center"/>
          </w:tcPr>
          <w:p w14:paraId="6260835F" w14:textId="1CF4B4C9" w:rsidR="572EA639" w:rsidRDefault="572EA639" w:rsidP="572EA639">
            <w:pPr>
              <w:spacing w:after="0"/>
              <w:ind w:left="720"/>
            </w:pPr>
            <w:r>
              <w:t>2.05</w:t>
            </w:r>
          </w:p>
        </w:tc>
        <w:tc>
          <w:tcPr>
            <w:tcW w:w="1445" w:type="dxa"/>
            <w:vAlign w:val="center"/>
          </w:tcPr>
          <w:p w14:paraId="70451738" w14:textId="42EEA053" w:rsidR="572EA639" w:rsidRDefault="572EA639" w:rsidP="572EA639">
            <w:pPr>
              <w:spacing w:after="0"/>
            </w:pPr>
            <w:r>
              <w:t xml:space="preserve"> +0.14</w:t>
            </w:r>
          </w:p>
        </w:tc>
      </w:tr>
      <w:tr w:rsidR="572EA639" w14:paraId="79970FEC" w14:textId="77777777" w:rsidTr="572EA639">
        <w:trPr>
          <w:trHeight w:val="300"/>
        </w:trPr>
        <w:tc>
          <w:tcPr>
            <w:tcW w:w="2076" w:type="dxa"/>
            <w:vAlign w:val="center"/>
          </w:tcPr>
          <w:p w14:paraId="4293478E" w14:textId="7E3AA867" w:rsidR="572EA639" w:rsidRDefault="572EA639" w:rsidP="572EA639">
            <w:pPr>
              <w:spacing w:after="0"/>
            </w:pPr>
            <w:r>
              <w:t>Pass Rate</w:t>
            </w:r>
          </w:p>
        </w:tc>
        <w:tc>
          <w:tcPr>
            <w:tcW w:w="2550" w:type="dxa"/>
            <w:vAlign w:val="center"/>
          </w:tcPr>
          <w:p w14:paraId="40FD8FCC" w14:textId="4E0485C2" w:rsidR="572EA639" w:rsidRDefault="572EA639" w:rsidP="572EA639">
            <w:pPr>
              <w:spacing w:after="0"/>
              <w:ind w:left="720"/>
            </w:pPr>
            <w:r>
              <w:t>75.0%</w:t>
            </w:r>
          </w:p>
        </w:tc>
        <w:tc>
          <w:tcPr>
            <w:tcW w:w="1946" w:type="dxa"/>
            <w:vAlign w:val="center"/>
          </w:tcPr>
          <w:p w14:paraId="157279F2" w14:textId="288D3C22" w:rsidR="572EA639" w:rsidRDefault="572EA639" w:rsidP="572EA639">
            <w:pPr>
              <w:spacing w:after="0"/>
              <w:ind w:left="720"/>
            </w:pPr>
            <w:r>
              <w:t>66.2%</w:t>
            </w:r>
          </w:p>
        </w:tc>
        <w:tc>
          <w:tcPr>
            <w:tcW w:w="1445" w:type="dxa"/>
            <w:vAlign w:val="center"/>
          </w:tcPr>
          <w:p w14:paraId="280424D0" w14:textId="503C2E56" w:rsidR="572EA639" w:rsidRDefault="572EA639" w:rsidP="572EA639">
            <w:pPr>
              <w:spacing w:after="0"/>
            </w:pPr>
            <w:r>
              <w:t>+8.8%</w:t>
            </w:r>
          </w:p>
        </w:tc>
      </w:tr>
      <w:tr w:rsidR="572EA639" w14:paraId="773386F4" w14:textId="77777777" w:rsidTr="572EA639">
        <w:trPr>
          <w:trHeight w:val="300"/>
        </w:trPr>
        <w:tc>
          <w:tcPr>
            <w:tcW w:w="2076" w:type="dxa"/>
            <w:vAlign w:val="center"/>
          </w:tcPr>
          <w:p w14:paraId="381BEFDB" w14:textId="061E1DDB" w:rsidR="572EA639" w:rsidRDefault="572EA639" w:rsidP="572EA639">
            <w:pPr>
              <w:spacing w:after="0"/>
            </w:pPr>
            <w:r>
              <w:t>Withdrawal Rate</w:t>
            </w:r>
          </w:p>
        </w:tc>
        <w:tc>
          <w:tcPr>
            <w:tcW w:w="2550" w:type="dxa"/>
            <w:vAlign w:val="center"/>
          </w:tcPr>
          <w:p w14:paraId="45AF5660" w14:textId="4700ACC0" w:rsidR="572EA639" w:rsidRDefault="572EA639" w:rsidP="572EA639">
            <w:pPr>
              <w:spacing w:after="0"/>
              <w:ind w:left="720"/>
            </w:pPr>
            <w:r>
              <w:t>0.81%</w:t>
            </w:r>
          </w:p>
        </w:tc>
        <w:tc>
          <w:tcPr>
            <w:tcW w:w="1946" w:type="dxa"/>
            <w:vAlign w:val="center"/>
          </w:tcPr>
          <w:p w14:paraId="7DF236A1" w14:textId="512396DD" w:rsidR="572EA639" w:rsidRDefault="572EA639" w:rsidP="572EA639">
            <w:pPr>
              <w:spacing w:after="0"/>
              <w:ind w:left="720"/>
            </w:pPr>
            <w:r>
              <w:t>3.15%</w:t>
            </w:r>
          </w:p>
        </w:tc>
        <w:tc>
          <w:tcPr>
            <w:tcW w:w="1445" w:type="dxa"/>
            <w:vAlign w:val="center"/>
          </w:tcPr>
          <w:p w14:paraId="67C103F5" w14:textId="71BA6A92" w:rsidR="572EA639" w:rsidRDefault="572EA639" w:rsidP="572EA639">
            <w:pPr>
              <w:spacing w:after="0"/>
            </w:pPr>
            <w:r>
              <w:t>−2.34%</w:t>
            </w:r>
          </w:p>
        </w:tc>
      </w:tr>
    </w:tbl>
    <w:p w14:paraId="1C9F9DC8" w14:textId="7536524B" w:rsidR="2DDFD443" w:rsidRDefault="2DDFD443" w:rsidP="572EA639">
      <w:pPr>
        <w:rPr>
          <w:sz w:val="24"/>
          <w:szCs w:val="24"/>
        </w:rPr>
      </w:pPr>
    </w:p>
    <w:p w14:paraId="05B5901B" w14:textId="47E7A631" w:rsidR="2DDFD443" w:rsidRDefault="2951037F" w:rsidP="572EA639">
      <w:pPr>
        <w:spacing w:before="240" w:after="240"/>
        <w:rPr>
          <w:rFonts w:ascii="Calibri" w:eastAsia="Calibri" w:hAnsi="Calibri" w:cs="Calibri"/>
        </w:rPr>
      </w:pPr>
      <w:r w:rsidRPr="572EA639">
        <w:rPr>
          <w:rFonts w:ascii="Calibri" w:eastAsia="Calibri" w:hAnsi="Calibri" w:cs="Calibri"/>
        </w:rPr>
        <w:t>The ENGL 0999 experimental group clearly outperformed the control in all success metrics:</w:t>
      </w:r>
    </w:p>
    <w:p w14:paraId="6643EFB8" w14:textId="7D0AE3C0" w:rsidR="2DDFD443" w:rsidRDefault="2951037F" w:rsidP="572EA639">
      <w:pPr>
        <w:pStyle w:val="ListParagraph"/>
        <w:numPr>
          <w:ilvl w:val="0"/>
          <w:numId w:val="22"/>
        </w:numPr>
        <w:spacing w:before="240" w:after="240"/>
        <w:rPr>
          <w:rFonts w:ascii="Calibri" w:eastAsia="Calibri" w:hAnsi="Calibri" w:cs="Calibri"/>
        </w:rPr>
      </w:pPr>
      <w:r w:rsidRPr="572EA639">
        <w:rPr>
          <w:rFonts w:ascii="Calibri" w:eastAsia="Calibri" w:hAnsi="Calibri" w:cs="Calibri"/>
        </w:rPr>
        <w:t>Higher GPA</w:t>
      </w:r>
    </w:p>
    <w:p w14:paraId="11FD227E" w14:textId="7FB0CA0A" w:rsidR="2DDFD443" w:rsidRDefault="2951037F" w:rsidP="572EA639">
      <w:pPr>
        <w:pStyle w:val="ListParagraph"/>
        <w:numPr>
          <w:ilvl w:val="0"/>
          <w:numId w:val="22"/>
        </w:numPr>
        <w:spacing w:before="240" w:after="240"/>
        <w:rPr>
          <w:rFonts w:ascii="Calibri" w:eastAsia="Calibri" w:hAnsi="Calibri" w:cs="Calibri"/>
        </w:rPr>
      </w:pPr>
      <w:r w:rsidRPr="572EA639">
        <w:rPr>
          <w:rFonts w:ascii="Calibri" w:eastAsia="Calibri" w:hAnsi="Calibri" w:cs="Calibri"/>
        </w:rPr>
        <w:t>Significantly higher pass rate</w:t>
      </w:r>
    </w:p>
    <w:p w14:paraId="03962C2A" w14:textId="5C0607EC" w:rsidR="2DDFD443" w:rsidRDefault="2951037F" w:rsidP="572EA639">
      <w:pPr>
        <w:pStyle w:val="ListParagraph"/>
        <w:numPr>
          <w:ilvl w:val="0"/>
          <w:numId w:val="22"/>
        </w:numPr>
        <w:spacing w:before="240" w:after="240"/>
        <w:rPr>
          <w:rFonts w:ascii="Calibri" w:eastAsia="Calibri" w:hAnsi="Calibri" w:cs="Calibri"/>
        </w:rPr>
      </w:pPr>
      <w:r w:rsidRPr="572EA639">
        <w:rPr>
          <w:rFonts w:ascii="Calibri" w:eastAsia="Calibri" w:hAnsi="Calibri" w:cs="Calibri"/>
        </w:rPr>
        <w:t>Lower withdrawal rate</w:t>
      </w:r>
    </w:p>
    <w:p w14:paraId="1345DD78" w14:textId="0ED98943" w:rsidR="2DDFD443" w:rsidRDefault="7BCB0C61" w:rsidP="572EA639">
      <w:pPr>
        <w:rPr>
          <w:rFonts w:ascii="Calibri" w:eastAsia="Calibri" w:hAnsi="Calibri" w:cs="Calibri"/>
          <w:sz w:val="24"/>
          <w:szCs w:val="24"/>
        </w:rPr>
      </w:pPr>
      <w:r w:rsidRPr="572EA639">
        <w:rPr>
          <w:rFonts w:ascii="Calibri" w:eastAsia="Calibri" w:hAnsi="Calibri" w:cs="Calibri"/>
          <w:b/>
          <w:bCs/>
          <w:sz w:val="24"/>
          <w:szCs w:val="24"/>
        </w:rPr>
        <w:t>ENGL-1101*</w:t>
      </w:r>
      <w:r w:rsidRPr="572EA639">
        <w:rPr>
          <w:rFonts w:ascii="Calibri" w:eastAsia="Calibri" w:hAnsi="Calibri" w:cs="Calibri"/>
          <w:sz w:val="24"/>
          <w:szCs w:val="24"/>
        </w:rPr>
        <w:t xml:space="preserve"> </w:t>
      </w:r>
      <w:r w:rsidRPr="572EA639">
        <w:rPr>
          <w:rFonts w:ascii="Calibri" w:eastAsia="Calibri" w:hAnsi="Calibri" w:cs="Calibri"/>
          <w:b/>
          <w:bCs/>
          <w:i/>
          <w:iCs/>
          <w:sz w:val="24"/>
          <w:szCs w:val="24"/>
        </w:rPr>
        <w:t>(Co-enrolled with ENGL 0999)</w:t>
      </w:r>
    </w:p>
    <w:tbl>
      <w:tblPr>
        <w:tblW w:w="0" w:type="auto"/>
        <w:tblLayout w:type="fixed"/>
        <w:tblLook w:val="06A0" w:firstRow="1" w:lastRow="0" w:firstColumn="1" w:lastColumn="0" w:noHBand="1" w:noVBand="1"/>
      </w:tblPr>
      <w:tblGrid>
        <w:gridCol w:w="2076"/>
        <w:gridCol w:w="2550"/>
        <w:gridCol w:w="1946"/>
        <w:gridCol w:w="1445"/>
      </w:tblGrid>
      <w:tr w:rsidR="572EA639" w14:paraId="41305BAE" w14:textId="77777777" w:rsidTr="572EA639">
        <w:trPr>
          <w:trHeight w:val="300"/>
        </w:trPr>
        <w:tc>
          <w:tcPr>
            <w:tcW w:w="2076" w:type="dxa"/>
            <w:vAlign w:val="center"/>
          </w:tcPr>
          <w:p w14:paraId="53F9D7EB" w14:textId="00C9BB78" w:rsidR="572EA639" w:rsidRDefault="572EA639" w:rsidP="572EA639">
            <w:pPr>
              <w:spacing w:after="0"/>
              <w:jc w:val="center"/>
            </w:pPr>
            <w:r>
              <w:t>Metric</w:t>
            </w:r>
          </w:p>
        </w:tc>
        <w:tc>
          <w:tcPr>
            <w:tcW w:w="2550" w:type="dxa"/>
            <w:vAlign w:val="center"/>
          </w:tcPr>
          <w:p w14:paraId="54B8E302" w14:textId="7A7C49A8" w:rsidR="572EA639" w:rsidRDefault="572EA639" w:rsidP="572EA639">
            <w:pPr>
              <w:spacing w:after="0"/>
              <w:jc w:val="center"/>
            </w:pPr>
            <w:r>
              <w:t>Experimental (n=124)</w:t>
            </w:r>
          </w:p>
        </w:tc>
        <w:tc>
          <w:tcPr>
            <w:tcW w:w="1946" w:type="dxa"/>
            <w:vAlign w:val="center"/>
          </w:tcPr>
          <w:p w14:paraId="5FCF7DEC" w14:textId="1694228C" w:rsidR="572EA639" w:rsidRDefault="572EA639" w:rsidP="572EA639">
            <w:pPr>
              <w:spacing w:after="0"/>
              <w:jc w:val="center"/>
            </w:pPr>
            <w:r>
              <w:t>Control (n=222)</w:t>
            </w:r>
          </w:p>
        </w:tc>
        <w:tc>
          <w:tcPr>
            <w:tcW w:w="1445" w:type="dxa"/>
            <w:vAlign w:val="center"/>
          </w:tcPr>
          <w:p w14:paraId="71C685E0" w14:textId="0EA4F05E" w:rsidR="572EA639" w:rsidRDefault="572EA639" w:rsidP="572EA639">
            <w:pPr>
              <w:spacing w:after="0"/>
              <w:jc w:val="center"/>
            </w:pPr>
            <w:r>
              <w:t>Difference</w:t>
            </w:r>
          </w:p>
        </w:tc>
      </w:tr>
      <w:tr w:rsidR="572EA639" w14:paraId="5805F4D0" w14:textId="77777777" w:rsidTr="572EA639">
        <w:trPr>
          <w:trHeight w:val="300"/>
        </w:trPr>
        <w:tc>
          <w:tcPr>
            <w:tcW w:w="2076" w:type="dxa"/>
            <w:vAlign w:val="center"/>
          </w:tcPr>
          <w:p w14:paraId="4E4C7FA9" w14:textId="1A91ADCB" w:rsidR="572EA639" w:rsidRDefault="572EA639" w:rsidP="572EA639">
            <w:pPr>
              <w:spacing w:after="0"/>
            </w:pPr>
            <w:r>
              <w:t>GPA</w:t>
            </w:r>
          </w:p>
        </w:tc>
        <w:tc>
          <w:tcPr>
            <w:tcW w:w="2550" w:type="dxa"/>
            <w:vAlign w:val="center"/>
          </w:tcPr>
          <w:p w14:paraId="59F37C12" w14:textId="1A600272" w:rsidR="572EA639" w:rsidRDefault="572EA639" w:rsidP="572EA639">
            <w:pPr>
              <w:spacing w:after="0"/>
              <w:ind w:left="720"/>
            </w:pPr>
            <w:r>
              <w:t>1.84</w:t>
            </w:r>
          </w:p>
        </w:tc>
        <w:tc>
          <w:tcPr>
            <w:tcW w:w="1946" w:type="dxa"/>
            <w:vAlign w:val="center"/>
          </w:tcPr>
          <w:p w14:paraId="74563D7F" w14:textId="5418A67B" w:rsidR="572EA639" w:rsidRDefault="572EA639" w:rsidP="572EA639">
            <w:pPr>
              <w:spacing w:after="0"/>
              <w:ind w:left="720"/>
            </w:pPr>
            <w:r>
              <w:t>1.82</w:t>
            </w:r>
          </w:p>
        </w:tc>
        <w:tc>
          <w:tcPr>
            <w:tcW w:w="1445" w:type="dxa"/>
            <w:vAlign w:val="center"/>
          </w:tcPr>
          <w:p w14:paraId="3947F8E1" w14:textId="217FF7B8" w:rsidR="572EA639" w:rsidRDefault="572EA639" w:rsidP="572EA639">
            <w:pPr>
              <w:spacing w:after="0"/>
            </w:pPr>
            <w:r>
              <w:t>+0.02</w:t>
            </w:r>
          </w:p>
        </w:tc>
      </w:tr>
      <w:tr w:rsidR="572EA639" w14:paraId="0F74572D" w14:textId="77777777" w:rsidTr="572EA639">
        <w:trPr>
          <w:trHeight w:val="300"/>
        </w:trPr>
        <w:tc>
          <w:tcPr>
            <w:tcW w:w="2076" w:type="dxa"/>
            <w:vAlign w:val="center"/>
          </w:tcPr>
          <w:p w14:paraId="45777BC3" w14:textId="3D8FA2BB" w:rsidR="572EA639" w:rsidRDefault="572EA639" w:rsidP="572EA639">
            <w:pPr>
              <w:spacing w:after="0"/>
            </w:pPr>
            <w:r>
              <w:t>Pass Rate</w:t>
            </w:r>
          </w:p>
        </w:tc>
        <w:tc>
          <w:tcPr>
            <w:tcW w:w="2550" w:type="dxa"/>
            <w:vAlign w:val="center"/>
          </w:tcPr>
          <w:p w14:paraId="08EA98E6" w14:textId="481EAB89" w:rsidR="572EA639" w:rsidRDefault="572EA639" w:rsidP="572EA639">
            <w:pPr>
              <w:spacing w:after="0"/>
              <w:ind w:left="720"/>
            </w:pPr>
            <w:r>
              <w:t>66.1%</w:t>
            </w:r>
          </w:p>
        </w:tc>
        <w:tc>
          <w:tcPr>
            <w:tcW w:w="1946" w:type="dxa"/>
            <w:vAlign w:val="center"/>
          </w:tcPr>
          <w:p w14:paraId="49C766E0" w14:textId="69BF92C5" w:rsidR="572EA639" w:rsidRDefault="572EA639" w:rsidP="572EA639">
            <w:pPr>
              <w:spacing w:after="0"/>
              <w:ind w:left="720"/>
            </w:pPr>
            <w:r>
              <w:t>57.2%</w:t>
            </w:r>
          </w:p>
        </w:tc>
        <w:tc>
          <w:tcPr>
            <w:tcW w:w="1445" w:type="dxa"/>
            <w:vAlign w:val="center"/>
          </w:tcPr>
          <w:p w14:paraId="3BBB94CD" w14:textId="158249D4" w:rsidR="572EA639" w:rsidRDefault="572EA639" w:rsidP="572EA639">
            <w:pPr>
              <w:spacing w:after="0"/>
            </w:pPr>
            <w:r>
              <w:t xml:space="preserve"> +8.9%</w:t>
            </w:r>
          </w:p>
        </w:tc>
      </w:tr>
      <w:tr w:rsidR="572EA639" w14:paraId="3928F5DD" w14:textId="77777777" w:rsidTr="572EA639">
        <w:trPr>
          <w:trHeight w:val="300"/>
        </w:trPr>
        <w:tc>
          <w:tcPr>
            <w:tcW w:w="2076" w:type="dxa"/>
            <w:vAlign w:val="center"/>
          </w:tcPr>
          <w:p w14:paraId="706D524C" w14:textId="77074575" w:rsidR="572EA639" w:rsidRDefault="572EA639" w:rsidP="572EA639">
            <w:pPr>
              <w:spacing w:after="0"/>
            </w:pPr>
            <w:r>
              <w:t>Withdrawal Rate</w:t>
            </w:r>
          </w:p>
        </w:tc>
        <w:tc>
          <w:tcPr>
            <w:tcW w:w="2550" w:type="dxa"/>
            <w:vAlign w:val="center"/>
          </w:tcPr>
          <w:p w14:paraId="5FA4BB23" w14:textId="23F5B462" w:rsidR="572EA639" w:rsidRDefault="572EA639" w:rsidP="572EA639">
            <w:pPr>
              <w:spacing w:after="0"/>
              <w:ind w:left="720"/>
            </w:pPr>
            <w:r>
              <w:t>0.81%</w:t>
            </w:r>
          </w:p>
        </w:tc>
        <w:tc>
          <w:tcPr>
            <w:tcW w:w="1946" w:type="dxa"/>
            <w:vAlign w:val="center"/>
          </w:tcPr>
          <w:p w14:paraId="7937343D" w14:textId="05229D00" w:rsidR="572EA639" w:rsidRDefault="572EA639" w:rsidP="572EA639">
            <w:pPr>
              <w:spacing w:after="0"/>
              <w:ind w:left="720"/>
            </w:pPr>
            <w:r>
              <w:t>3.15%</w:t>
            </w:r>
          </w:p>
        </w:tc>
        <w:tc>
          <w:tcPr>
            <w:tcW w:w="1445" w:type="dxa"/>
            <w:vAlign w:val="center"/>
          </w:tcPr>
          <w:p w14:paraId="02AC4924" w14:textId="19CAAAB1" w:rsidR="572EA639" w:rsidRDefault="572EA639" w:rsidP="572EA639">
            <w:pPr>
              <w:spacing w:after="0"/>
            </w:pPr>
            <w:r>
              <w:t>−2.34%</w:t>
            </w:r>
          </w:p>
        </w:tc>
      </w:tr>
    </w:tbl>
    <w:p w14:paraId="16361A6C" w14:textId="0CBC80E6" w:rsidR="572EA639" w:rsidRDefault="572EA639" w:rsidP="572EA639">
      <w:pPr>
        <w:rPr>
          <w:rFonts w:ascii="Calibri" w:eastAsia="Calibri" w:hAnsi="Calibri" w:cs="Calibri"/>
          <w:i/>
          <w:iCs/>
          <w:sz w:val="24"/>
          <w:szCs w:val="24"/>
        </w:rPr>
      </w:pPr>
    </w:p>
    <w:p w14:paraId="25375BFA" w14:textId="3DCCC195" w:rsidR="16CF4C1D" w:rsidRDefault="16CF4C1D" w:rsidP="572EA639">
      <w:pPr>
        <w:spacing w:before="240" w:after="240"/>
      </w:pPr>
      <w:r w:rsidRPr="572EA639">
        <w:rPr>
          <w:rFonts w:ascii="Calibri" w:eastAsia="Calibri" w:hAnsi="Calibri" w:cs="Calibri"/>
          <w:sz w:val="24"/>
          <w:szCs w:val="24"/>
        </w:rPr>
        <w:t>In ENGL 1101, the experimental co-enrolled students again outperformed the control group:</w:t>
      </w:r>
    </w:p>
    <w:p w14:paraId="01378C32" w14:textId="32926D07" w:rsidR="16CF4C1D" w:rsidRDefault="16CF4C1D" w:rsidP="572EA639">
      <w:pPr>
        <w:pStyle w:val="ListParagraph"/>
        <w:numPr>
          <w:ilvl w:val="0"/>
          <w:numId w:val="21"/>
        </w:numPr>
        <w:spacing w:before="240" w:after="240"/>
        <w:rPr>
          <w:rFonts w:ascii="Calibri" w:eastAsia="Calibri" w:hAnsi="Calibri" w:cs="Calibri"/>
          <w:sz w:val="24"/>
          <w:szCs w:val="24"/>
        </w:rPr>
      </w:pPr>
      <w:r w:rsidRPr="572EA639">
        <w:rPr>
          <w:rFonts w:ascii="Calibri" w:eastAsia="Calibri" w:hAnsi="Calibri" w:cs="Calibri"/>
          <w:sz w:val="24"/>
          <w:szCs w:val="24"/>
        </w:rPr>
        <w:t>Slightly higher GPA</w:t>
      </w:r>
    </w:p>
    <w:p w14:paraId="1F3EB43E" w14:textId="5F167447" w:rsidR="16CF4C1D" w:rsidRDefault="16CF4C1D" w:rsidP="572EA639">
      <w:pPr>
        <w:pStyle w:val="ListParagraph"/>
        <w:numPr>
          <w:ilvl w:val="0"/>
          <w:numId w:val="21"/>
        </w:numPr>
        <w:spacing w:before="240" w:after="240"/>
        <w:rPr>
          <w:rFonts w:ascii="Calibri" w:eastAsia="Calibri" w:hAnsi="Calibri" w:cs="Calibri"/>
          <w:sz w:val="24"/>
          <w:szCs w:val="24"/>
        </w:rPr>
      </w:pPr>
      <w:r w:rsidRPr="572EA639">
        <w:rPr>
          <w:rFonts w:ascii="Calibri" w:eastAsia="Calibri" w:hAnsi="Calibri" w:cs="Calibri"/>
          <w:sz w:val="24"/>
          <w:szCs w:val="24"/>
        </w:rPr>
        <w:t>Substantially higher pass rate</w:t>
      </w:r>
    </w:p>
    <w:p w14:paraId="3F3F88F7" w14:textId="0E863E0B" w:rsidR="16CF4C1D" w:rsidRDefault="16CF4C1D" w:rsidP="572EA639">
      <w:pPr>
        <w:pStyle w:val="ListParagraph"/>
        <w:numPr>
          <w:ilvl w:val="0"/>
          <w:numId w:val="21"/>
        </w:numPr>
        <w:spacing w:before="240" w:after="240"/>
        <w:rPr>
          <w:rFonts w:ascii="Calibri" w:eastAsia="Calibri" w:hAnsi="Calibri" w:cs="Calibri"/>
          <w:sz w:val="24"/>
          <w:szCs w:val="24"/>
        </w:rPr>
      </w:pPr>
      <w:r w:rsidRPr="572EA639">
        <w:rPr>
          <w:rFonts w:ascii="Calibri" w:eastAsia="Calibri" w:hAnsi="Calibri" w:cs="Calibri"/>
          <w:sz w:val="24"/>
          <w:szCs w:val="24"/>
        </w:rPr>
        <w:t>Much lower withdrawal rate</w:t>
      </w:r>
    </w:p>
    <w:p w14:paraId="5B80FA45" w14:textId="7D21542B" w:rsidR="572EA639" w:rsidRDefault="572EA639" w:rsidP="572EA639">
      <w:pPr>
        <w:rPr>
          <w:rFonts w:ascii="Calibri" w:eastAsia="Calibri" w:hAnsi="Calibri" w:cs="Calibri"/>
          <w:i/>
          <w:iCs/>
          <w:sz w:val="24"/>
          <w:szCs w:val="24"/>
        </w:rPr>
      </w:pPr>
    </w:p>
    <w:p w14:paraId="2A11D83A" w14:textId="3D5A04E6" w:rsidR="2DDFD443" w:rsidRDefault="04155695" w:rsidP="20EDD713">
      <w:pPr>
        <w:rPr>
          <w:b/>
          <w:bCs/>
          <w:sz w:val="24"/>
          <w:szCs w:val="24"/>
        </w:rPr>
      </w:pPr>
      <w:r w:rsidRPr="572EA639">
        <w:rPr>
          <w:b/>
          <w:bCs/>
          <w:sz w:val="24"/>
          <w:szCs w:val="24"/>
        </w:rPr>
        <w:t>Overall Conclusion</w:t>
      </w:r>
    </w:p>
    <w:p w14:paraId="0A9D5C89" w14:textId="0DC53737" w:rsidR="2DDFD443" w:rsidRDefault="2C4B527A" w:rsidP="572EA639">
      <w:pPr>
        <w:spacing w:before="240" w:after="240"/>
        <w:rPr>
          <w:rFonts w:ascii="Calibri" w:eastAsia="Calibri" w:hAnsi="Calibri" w:cs="Calibri"/>
          <w:sz w:val="24"/>
          <w:szCs w:val="24"/>
        </w:rPr>
      </w:pPr>
      <w:r w:rsidRPr="572EA639">
        <w:rPr>
          <w:rFonts w:ascii="Calibri" w:eastAsia="Calibri" w:hAnsi="Calibri" w:cs="Calibri"/>
          <w:sz w:val="24"/>
          <w:szCs w:val="24"/>
        </w:rPr>
        <w:t>Both groups of experimental students (0999-only and co-enrolled 1101*) performed better than their control counterparts.</w:t>
      </w:r>
    </w:p>
    <w:p w14:paraId="29C6977F" w14:textId="4192AFEF" w:rsidR="2DDFD443" w:rsidRDefault="2C4B527A" w:rsidP="572EA639">
      <w:pPr>
        <w:spacing w:before="240" w:after="240"/>
        <w:rPr>
          <w:rFonts w:ascii="Calibri" w:eastAsia="Calibri" w:hAnsi="Calibri" w:cs="Calibri"/>
          <w:sz w:val="24"/>
          <w:szCs w:val="24"/>
        </w:rPr>
      </w:pPr>
      <w:r w:rsidRPr="572EA639">
        <w:rPr>
          <w:rFonts w:ascii="Calibri" w:eastAsia="Calibri" w:hAnsi="Calibri" w:cs="Calibri"/>
          <w:sz w:val="24"/>
          <w:szCs w:val="24"/>
        </w:rPr>
        <w:t>Benefits included:</w:t>
      </w:r>
    </w:p>
    <w:p w14:paraId="1F100753" w14:textId="6081E8B4" w:rsidR="2DDFD443" w:rsidRDefault="2C4B527A" w:rsidP="572EA639">
      <w:pPr>
        <w:pStyle w:val="ListParagraph"/>
        <w:numPr>
          <w:ilvl w:val="0"/>
          <w:numId w:val="17"/>
        </w:numPr>
        <w:spacing w:before="240" w:after="240"/>
        <w:rPr>
          <w:rFonts w:ascii="Calibri" w:eastAsia="Calibri" w:hAnsi="Calibri" w:cs="Calibri"/>
          <w:sz w:val="24"/>
          <w:szCs w:val="24"/>
        </w:rPr>
      </w:pPr>
      <w:r w:rsidRPr="572EA639">
        <w:rPr>
          <w:rFonts w:ascii="Calibri" w:eastAsia="Calibri" w:hAnsi="Calibri" w:cs="Calibri"/>
          <w:sz w:val="24"/>
          <w:szCs w:val="24"/>
        </w:rPr>
        <w:t>Higher pass rates (+8.8% and +8.9%)</w:t>
      </w:r>
    </w:p>
    <w:p w14:paraId="38A5489B" w14:textId="6F071F92" w:rsidR="2DDFD443" w:rsidRDefault="2C4B527A" w:rsidP="572EA639">
      <w:pPr>
        <w:pStyle w:val="ListParagraph"/>
        <w:numPr>
          <w:ilvl w:val="0"/>
          <w:numId w:val="17"/>
        </w:numPr>
        <w:spacing w:before="240" w:after="240"/>
        <w:rPr>
          <w:rFonts w:ascii="Calibri" w:eastAsia="Calibri" w:hAnsi="Calibri" w:cs="Calibri"/>
          <w:sz w:val="24"/>
          <w:szCs w:val="24"/>
        </w:rPr>
      </w:pPr>
      <w:r w:rsidRPr="572EA639">
        <w:rPr>
          <w:rFonts w:ascii="Calibri" w:eastAsia="Calibri" w:hAnsi="Calibri" w:cs="Calibri"/>
          <w:sz w:val="24"/>
          <w:szCs w:val="24"/>
        </w:rPr>
        <w:t>Lower withdrawal rates (−2.34% for both)</w:t>
      </w:r>
    </w:p>
    <w:p w14:paraId="02AB2CDD" w14:textId="6ECD530C" w:rsidR="2DDFD443" w:rsidRDefault="2C4B527A" w:rsidP="572EA639">
      <w:pPr>
        <w:pStyle w:val="ListParagraph"/>
        <w:numPr>
          <w:ilvl w:val="0"/>
          <w:numId w:val="17"/>
        </w:numPr>
        <w:spacing w:before="240" w:after="240"/>
        <w:rPr>
          <w:rFonts w:ascii="Calibri" w:eastAsia="Calibri" w:hAnsi="Calibri" w:cs="Calibri"/>
          <w:sz w:val="24"/>
          <w:szCs w:val="24"/>
        </w:rPr>
      </w:pPr>
      <w:r w:rsidRPr="572EA639">
        <w:rPr>
          <w:rFonts w:ascii="Calibri" w:eastAsia="Calibri" w:hAnsi="Calibri" w:cs="Calibri"/>
          <w:sz w:val="24"/>
          <w:szCs w:val="24"/>
        </w:rPr>
        <w:t>Slightly improved or stable GPAs</w:t>
      </w:r>
    </w:p>
    <w:p w14:paraId="5A10798D" w14:textId="4DA07446" w:rsidR="00223F0E" w:rsidRDefault="005A7E6B" w:rsidP="572EA639">
      <w:pPr>
        <w:pStyle w:val="ListParagraph"/>
        <w:numPr>
          <w:ilvl w:val="0"/>
          <w:numId w:val="17"/>
        </w:numPr>
        <w:spacing w:before="240" w:after="240"/>
        <w:rPr>
          <w:rFonts w:ascii="Calibri" w:eastAsia="Calibri" w:hAnsi="Calibri" w:cs="Calibri"/>
          <w:sz w:val="24"/>
          <w:szCs w:val="24"/>
        </w:rPr>
      </w:pPr>
      <w:r>
        <w:rPr>
          <w:rFonts w:ascii="Calibri" w:eastAsia="Calibri" w:hAnsi="Calibri" w:cs="Calibri"/>
          <w:sz w:val="24"/>
          <w:szCs w:val="24"/>
        </w:rPr>
        <w:t>More positive attitude</w:t>
      </w:r>
      <w:r w:rsidR="00740748">
        <w:rPr>
          <w:rFonts w:ascii="Calibri" w:eastAsia="Calibri" w:hAnsi="Calibri" w:cs="Calibri"/>
          <w:sz w:val="24"/>
          <w:szCs w:val="24"/>
        </w:rPr>
        <w:t>s</w:t>
      </w:r>
      <w:r>
        <w:rPr>
          <w:rFonts w:ascii="Calibri" w:eastAsia="Calibri" w:hAnsi="Calibri" w:cs="Calibri"/>
          <w:sz w:val="24"/>
          <w:szCs w:val="24"/>
        </w:rPr>
        <w:t xml:space="preserve"> toward the purpose of the course, accessibility and organization of the course, and clarity on </w:t>
      </w:r>
      <w:r w:rsidR="00740748">
        <w:rPr>
          <w:rFonts w:ascii="Calibri" w:eastAsia="Calibri" w:hAnsi="Calibri" w:cs="Calibri"/>
          <w:sz w:val="24"/>
          <w:szCs w:val="24"/>
        </w:rPr>
        <w:t>how it supports success</w:t>
      </w:r>
      <w:r w:rsidR="00F90DD8">
        <w:rPr>
          <w:rFonts w:ascii="Calibri" w:eastAsia="Calibri" w:hAnsi="Calibri" w:cs="Calibri"/>
          <w:sz w:val="24"/>
          <w:szCs w:val="24"/>
        </w:rPr>
        <w:t xml:space="preserve"> in ENGL 1101.</w:t>
      </w:r>
    </w:p>
    <w:p w14:paraId="308070EF" w14:textId="7A4809F0" w:rsidR="2DDFD443" w:rsidRDefault="04155695" w:rsidP="20EDD713">
      <w:pPr>
        <w:rPr>
          <w:sz w:val="24"/>
          <w:szCs w:val="24"/>
        </w:rPr>
      </w:pPr>
      <w:r w:rsidRPr="572EA639">
        <w:rPr>
          <w:sz w:val="24"/>
          <w:szCs w:val="24"/>
        </w:rPr>
        <w:t>The experimental intervention appears to have benefited students in ENGL 0999 and co-enrolled students (ENGL-1101), with higher pass rates and lower withdrawal rates.</w:t>
      </w:r>
    </w:p>
    <w:p w14:paraId="27560628" w14:textId="19222508" w:rsidR="572EA639" w:rsidRDefault="572EA639" w:rsidP="572EA639">
      <w:pPr>
        <w:rPr>
          <w:sz w:val="24"/>
          <w:szCs w:val="24"/>
        </w:rPr>
      </w:pPr>
    </w:p>
    <w:p w14:paraId="2482C4CF" w14:textId="1452884E" w:rsidR="2DDFD443" w:rsidRDefault="2DDFD443" w:rsidP="20EDD713"/>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3089D69E" w14:textId="4F3438C7" w:rsidR="00DF1089" w:rsidRDefault="00DF1089" w:rsidP="00DF1089">
      <w:pPr>
        <w:rPr>
          <w:sz w:val="24"/>
          <w:szCs w:val="24"/>
        </w:rPr>
      </w:pPr>
      <w:r>
        <w:rPr>
          <w:color w:val="0D0D0D"/>
          <w:sz w:val="24"/>
          <w:szCs w:val="24"/>
          <w:highlight w:val="white"/>
        </w:rPr>
        <w:t xml:space="preserve">The sustainability plan for offering the materials in the courses in the future involves a structured approach to ensure ongoing availability, maintenance, and updating of course materials. Starting in Fall 2025, all part-time and new faculty will use the course template. The remaining faculty will be encouraged to use the template as a no-cost option, and we will inform faculty on the higher pass rate of the course compared to non-template courses. The Composition Committee in coordination with the English Support (Segue) Committee will oversee the maintenance of the template, and update any information, materials, or links as deemed necessary. To encourage faculty to use elements of the course template, we will make it editable. This way faculty may include specific exercises or assignments they would like to teach within the broader template structure. We will also continue to offer instructional </w:t>
      </w:r>
      <w:r>
        <w:rPr>
          <w:color w:val="0D0D0D"/>
          <w:sz w:val="24"/>
          <w:szCs w:val="24"/>
          <w:highlight w:val="white"/>
        </w:rPr>
        <w:lastRenderedPageBreak/>
        <w:t>support to faculty that will acquaint them with the template instructional design, including training on using the embedded technology tools that result in creating interactive and engaging course materials.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0420053F" w14:textId="527506E4" w:rsidR="00DF1089" w:rsidRPr="00DF1089" w:rsidRDefault="00DF1089" w:rsidP="00DF1089">
      <w:pPr>
        <w:ind w:left="360"/>
        <w:rPr>
          <w:bCs/>
          <w:sz w:val="24"/>
          <w:szCs w:val="24"/>
        </w:rPr>
      </w:pPr>
      <w:r>
        <w:rPr>
          <w:bCs/>
          <w:sz w:val="24"/>
          <w:szCs w:val="24"/>
        </w:rPr>
        <w:t>Our</w:t>
      </w:r>
      <w:r w:rsidRPr="00DF1089">
        <w:rPr>
          <w:bCs/>
          <w:sz w:val="24"/>
          <w:szCs w:val="24"/>
        </w:rPr>
        <w:t xml:space="preserve"> </w:t>
      </w:r>
      <w:r>
        <w:rPr>
          <w:bCs/>
          <w:sz w:val="24"/>
          <w:szCs w:val="24"/>
        </w:rPr>
        <w:t>ALG projects have</w:t>
      </w:r>
      <w:r w:rsidRPr="00DF1089">
        <w:rPr>
          <w:bCs/>
          <w:sz w:val="24"/>
          <w:szCs w:val="24"/>
        </w:rPr>
        <w:t xml:space="preserve"> significantly influenced</w:t>
      </w:r>
      <w:r>
        <w:rPr>
          <w:bCs/>
          <w:sz w:val="24"/>
          <w:szCs w:val="24"/>
        </w:rPr>
        <w:t xml:space="preserve"> our</w:t>
      </w:r>
      <w:r w:rsidRPr="00DF1089">
        <w:rPr>
          <w:bCs/>
          <w:sz w:val="24"/>
          <w:szCs w:val="24"/>
        </w:rPr>
        <w:t xml:space="preserve"> approach to selecting learning materials for current and future courses. Through the process of designing a no-cost, adaptive, and culturally responsive course template, </w:t>
      </w:r>
      <w:r>
        <w:rPr>
          <w:bCs/>
          <w:sz w:val="24"/>
          <w:szCs w:val="24"/>
        </w:rPr>
        <w:t xml:space="preserve">we </w:t>
      </w:r>
      <w:r w:rsidRPr="00DF1089">
        <w:rPr>
          <w:bCs/>
          <w:sz w:val="24"/>
          <w:szCs w:val="24"/>
        </w:rPr>
        <w:t xml:space="preserve">have seen firsthand how affordable, thoughtfully curated resources can positively impact both student engagement and academic performance. </w:t>
      </w:r>
      <w:r>
        <w:rPr>
          <w:bCs/>
          <w:sz w:val="24"/>
          <w:szCs w:val="24"/>
        </w:rPr>
        <w:t>We are</w:t>
      </w:r>
      <w:r w:rsidRPr="00DF1089">
        <w:rPr>
          <w:bCs/>
          <w:sz w:val="24"/>
          <w:szCs w:val="24"/>
        </w:rPr>
        <w:t xml:space="preserve"> committed to prioritizing the use of open educational resources (OER), adaptive platforms, and culturally diverse materials whenever possible</w:t>
      </w:r>
      <w:r>
        <w:rPr>
          <w:bCs/>
          <w:sz w:val="24"/>
          <w:szCs w:val="24"/>
        </w:rPr>
        <w:t xml:space="preserve"> in our courses. T</w:t>
      </w:r>
      <w:r w:rsidRPr="00DF1089">
        <w:rPr>
          <w:bCs/>
          <w:sz w:val="24"/>
          <w:szCs w:val="24"/>
        </w:rPr>
        <w:t xml:space="preserve">he success of embedding adaptive technologies has encouraged </w:t>
      </w:r>
      <w:r>
        <w:rPr>
          <w:bCs/>
          <w:sz w:val="24"/>
          <w:szCs w:val="24"/>
        </w:rPr>
        <w:t>us</w:t>
      </w:r>
      <w:r w:rsidRPr="00DF1089">
        <w:rPr>
          <w:bCs/>
          <w:sz w:val="24"/>
          <w:szCs w:val="24"/>
        </w:rPr>
        <w:t xml:space="preserve"> to seek out further tools that personalize learning paths and support differentiated instruction.</w:t>
      </w:r>
      <w:r>
        <w:rPr>
          <w:bCs/>
          <w:sz w:val="24"/>
          <w:szCs w:val="24"/>
        </w:rPr>
        <w:t xml:space="preserve"> </w:t>
      </w:r>
      <w:r w:rsidRPr="00DF1089">
        <w:rPr>
          <w:bCs/>
          <w:sz w:val="24"/>
          <w:szCs w:val="24"/>
        </w:rPr>
        <w:t>This project demonstrated that reducing material costs is not just a financial benefit to students; it is a pedagogical improvement that</w:t>
      </w:r>
      <w:r>
        <w:rPr>
          <w:bCs/>
          <w:sz w:val="24"/>
          <w:szCs w:val="24"/>
        </w:rPr>
        <w:t xml:space="preserve"> leads to</w:t>
      </w:r>
      <w:r w:rsidRPr="00DF1089">
        <w:rPr>
          <w:bCs/>
          <w:sz w:val="24"/>
          <w:szCs w:val="24"/>
        </w:rPr>
        <w:t xml:space="preserve"> equity, transparency, and academic success.</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79F13F2D" w14:textId="2852628E" w:rsidR="00DF1089" w:rsidRPr="003F4D85" w:rsidRDefault="00DF1089" w:rsidP="003F4D85">
      <w:pPr>
        <w:ind w:left="360"/>
        <w:rPr>
          <w:b/>
          <w:sz w:val="24"/>
          <w:szCs w:val="24"/>
        </w:rPr>
      </w:pPr>
      <w:r>
        <w:rPr>
          <w:sz w:val="24"/>
          <w:szCs w:val="24"/>
        </w:rPr>
        <w:t xml:space="preserve">The team plans to make the results of the study available in multiple academic and public spaces, including proposals for the 2026 USG Teaching &amp; Learning Conference. Further, with revisions to this project, we hope to present this work at other USG institutions with diverse populations to consider how to meet students where they are in first-year writing. With the ALG ENGL 1102 grant awarded to the team, we also plan to dig deeper into the data and its implications for students at minority-serving and </w:t>
      </w:r>
      <w:proofErr w:type="gramStart"/>
      <w:r>
        <w:rPr>
          <w:sz w:val="24"/>
          <w:szCs w:val="24"/>
        </w:rPr>
        <w:t>first-generation</w:t>
      </w:r>
      <w:proofErr w:type="gramEnd"/>
      <w:r>
        <w:rPr>
          <w:sz w:val="24"/>
          <w:szCs w:val="24"/>
        </w:rPr>
        <w:t xml:space="preserve">-serving institutions from 1101/999 to 1102 as we note there is a significant drop is </w:t>
      </w:r>
      <w:proofErr w:type="gramStart"/>
      <w:r>
        <w:rPr>
          <w:sz w:val="24"/>
          <w:szCs w:val="24"/>
        </w:rPr>
        <w:t>pass</w:t>
      </w:r>
      <w:proofErr w:type="gramEnd"/>
      <w:r>
        <w:rPr>
          <w:sz w:val="24"/>
          <w:szCs w:val="24"/>
        </w:rPr>
        <w:t xml:space="preserve"> rates for English 999 students in their 1102 courses.</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C333B"/>
    <w:multiLevelType w:val="hybridMultilevel"/>
    <w:tmpl w:val="FFFFFFFF"/>
    <w:lvl w:ilvl="0" w:tplc="60589708">
      <w:start w:val="1"/>
      <w:numFmt w:val="bullet"/>
      <w:lvlText w:val=""/>
      <w:lvlJc w:val="left"/>
      <w:pPr>
        <w:ind w:left="720" w:hanging="360"/>
      </w:pPr>
      <w:rPr>
        <w:rFonts w:ascii="Symbol" w:hAnsi="Symbol" w:hint="default"/>
      </w:rPr>
    </w:lvl>
    <w:lvl w:ilvl="1" w:tplc="A394157E">
      <w:start w:val="1"/>
      <w:numFmt w:val="bullet"/>
      <w:lvlText w:val="o"/>
      <w:lvlJc w:val="left"/>
      <w:pPr>
        <w:ind w:left="1440" w:hanging="360"/>
      </w:pPr>
      <w:rPr>
        <w:rFonts w:ascii="Courier New" w:hAnsi="Courier New" w:hint="default"/>
      </w:rPr>
    </w:lvl>
    <w:lvl w:ilvl="2" w:tplc="DF82F914">
      <w:start w:val="1"/>
      <w:numFmt w:val="bullet"/>
      <w:lvlText w:val=""/>
      <w:lvlJc w:val="left"/>
      <w:pPr>
        <w:ind w:left="2160" w:hanging="360"/>
      </w:pPr>
      <w:rPr>
        <w:rFonts w:ascii="Wingdings" w:hAnsi="Wingdings" w:hint="default"/>
      </w:rPr>
    </w:lvl>
    <w:lvl w:ilvl="3" w:tplc="1EEEE1FC">
      <w:start w:val="1"/>
      <w:numFmt w:val="bullet"/>
      <w:lvlText w:val=""/>
      <w:lvlJc w:val="left"/>
      <w:pPr>
        <w:ind w:left="2880" w:hanging="360"/>
      </w:pPr>
      <w:rPr>
        <w:rFonts w:ascii="Symbol" w:hAnsi="Symbol" w:hint="default"/>
      </w:rPr>
    </w:lvl>
    <w:lvl w:ilvl="4" w:tplc="0E927186">
      <w:start w:val="1"/>
      <w:numFmt w:val="bullet"/>
      <w:lvlText w:val="o"/>
      <w:lvlJc w:val="left"/>
      <w:pPr>
        <w:ind w:left="3600" w:hanging="360"/>
      </w:pPr>
      <w:rPr>
        <w:rFonts w:ascii="Courier New" w:hAnsi="Courier New" w:hint="default"/>
      </w:rPr>
    </w:lvl>
    <w:lvl w:ilvl="5" w:tplc="98E40CDC">
      <w:start w:val="1"/>
      <w:numFmt w:val="bullet"/>
      <w:lvlText w:val=""/>
      <w:lvlJc w:val="left"/>
      <w:pPr>
        <w:ind w:left="4320" w:hanging="360"/>
      </w:pPr>
      <w:rPr>
        <w:rFonts w:ascii="Wingdings" w:hAnsi="Wingdings" w:hint="default"/>
      </w:rPr>
    </w:lvl>
    <w:lvl w:ilvl="6" w:tplc="9836D25E">
      <w:start w:val="1"/>
      <w:numFmt w:val="bullet"/>
      <w:lvlText w:val=""/>
      <w:lvlJc w:val="left"/>
      <w:pPr>
        <w:ind w:left="5040" w:hanging="360"/>
      </w:pPr>
      <w:rPr>
        <w:rFonts w:ascii="Symbol" w:hAnsi="Symbol" w:hint="default"/>
      </w:rPr>
    </w:lvl>
    <w:lvl w:ilvl="7" w:tplc="D7ECF386">
      <w:start w:val="1"/>
      <w:numFmt w:val="bullet"/>
      <w:lvlText w:val="o"/>
      <w:lvlJc w:val="left"/>
      <w:pPr>
        <w:ind w:left="5760" w:hanging="360"/>
      </w:pPr>
      <w:rPr>
        <w:rFonts w:ascii="Courier New" w:hAnsi="Courier New" w:hint="default"/>
      </w:rPr>
    </w:lvl>
    <w:lvl w:ilvl="8" w:tplc="03040290">
      <w:start w:val="1"/>
      <w:numFmt w:val="bullet"/>
      <w:lvlText w:val=""/>
      <w:lvlJc w:val="left"/>
      <w:pPr>
        <w:ind w:left="6480" w:hanging="360"/>
      </w:pPr>
      <w:rPr>
        <w:rFonts w:ascii="Wingdings" w:hAnsi="Wingdings" w:hint="default"/>
      </w:r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8641EA"/>
    <w:multiLevelType w:val="multilevel"/>
    <w:tmpl w:val="C226C9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2DF3771A"/>
    <w:multiLevelType w:val="hybridMultilevel"/>
    <w:tmpl w:val="FFFFFFFF"/>
    <w:lvl w:ilvl="0" w:tplc="4AD2C492">
      <w:start w:val="1"/>
      <w:numFmt w:val="bullet"/>
      <w:lvlText w:val=""/>
      <w:lvlJc w:val="left"/>
      <w:pPr>
        <w:ind w:left="720" w:hanging="360"/>
      </w:pPr>
      <w:rPr>
        <w:rFonts w:ascii="Symbol" w:hAnsi="Symbol" w:hint="default"/>
      </w:rPr>
    </w:lvl>
    <w:lvl w:ilvl="1" w:tplc="936C0ACA">
      <w:start w:val="1"/>
      <w:numFmt w:val="bullet"/>
      <w:lvlText w:val="o"/>
      <w:lvlJc w:val="left"/>
      <w:pPr>
        <w:ind w:left="1440" w:hanging="360"/>
      </w:pPr>
      <w:rPr>
        <w:rFonts w:ascii="Courier New" w:hAnsi="Courier New" w:hint="default"/>
      </w:rPr>
    </w:lvl>
    <w:lvl w:ilvl="2" w:tplc="5136D500">
      <w:start w:val="1"/>
      <w:numFmt w:val="bullet"/>
      <w:lvlText w:val=""/>
      <w:lvlJc w:val="left"/>
      <w:pPr>
        <w:ind w:left="2160" w:hanging="360"/>
      </w:pPr>
      <w:rPr>
        <w:rFonts w:ascii="Wingdings" w:hAnsi="Wingdings" w:hint="default"/>
      </w:rPr>
    </w:lvl>
    <w:lvl w:ilvl="3" w:tplc="FD401B5C">
      <w:start w:val="1"/>
      <w:numFmt w:val="bullet"/>
      <w:lvlText w:val=""/>
      <w:lvlJc w:val="left"/>
      <w:pPr>
        <w:ind w:left="2880" w:hanging="360"/>
      </w:pPr>
      <w:rPr>
        <w:rFonts w:ascii="Symbol" w:hAnsi="Symbol" w:hint="default"/>
      </w:rPr>
    </w:lvl>
    <w:lvl w:ilvl="4" w:tplc="0DF4BC8E">
      <w:start w:val="1"/>
      <w:numFmt w:val="bullet"/>
      <w:lvlText w:val="o"/>
      <w:lvlJc w:val="left"/>
      <w:pPr>
        <w:ind w:left="3600" w:hanging="360"/>
      </w:pPr>
      <w:rPr>
        <w:rFonts w:ascii="Courier New" w:hAnsi="Courier New" w:hint="default"/>
      </w:rPr>
    </w:lvl>
    <w:lvl w:ilvl="5" w:tplc="343A26BE">
      <w:start w:val="1"/>
      <w:numFmt w:val="bullet"/>
      <w:lvlText w:val=""/>
      <w:lvlJc w:val="left"/>
      <w:pPr>
        <w:ind w:left="4320" w:hanging="360"/>
      </w:pPr>
      <w:rPr>
        <w:rFonts w:ascii="Wingdings" w:hAnsi="Wingdings" w:hint="default"/>
      </w:rPr>
    </w:lvl>
    <w:lvl w:ilvl="6" w:tplc="9C2CE55A">
      <w:start w:val="1"/>
      <w:numFmt w:val="bullet"/>
      <w:lvlText w:val=""/>
      <w:lvlJc w:val="left"/>
      <w:pPr>
        <w:ind w:left="5040" w:hanging="360"/>
      </w:pPr>
      <w:rPr>
        <w:rFonts w:ascii="Symbol" w:hAnsi="Symbol" w:hint="default"/>
      </w:rPr>
    </w:lvl>
    <w:lvl w:ilvl="7" w:tplc="37C264D2">
      <w:start w:val="1"/>
      <w:numFmt w:val="bullet"/>
      <w:lvlText w:val="o"/>
      <w:lvlJc w:val="left"/>
      <w:pPr>
        <w:ind w:left="5760" w:hanging="360"/>
      </w:pPr>
      <w:rPr>
        <w:rFonts w:ascii="Courier New" w:hAnsi="Courier New" w:hint="default"/>
      </w:rPr>
    </w:lvl>
    <w:lvl w:ilvl="8" w:tplc="697877FC">
      <w:start w:val="1"/>
      <w:numFmt w:val="bullet"/>
      <w:lvlText w:val=""/>
      <w:lvlJc w:val="left"/>
      <w:pPr>
        <w:ind w:left="6480" w:hanging="360"/>
      </w:pPr>
      <w:rPr>
        <w:rFonts w:ascii="Wingdings" w:hAnsi="Wingdings" w:hint="default"/>
      </w:rPr>
    </w:lvl>
  </w:abstractNum>
  <w:abstractNum w:abstractNumId="11"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5FA3A"/>
    <w:multiLevelType w:val="hybridMultilevel"/>
    <w:tmpl w:val="FFFFFFFF"/>
    <w:lvl w:ilvl="0" w:tplc="7382B686">
      <w:start w:val="1"/>
      <w:numFmt w:val="decimal"/>
      <w:lvlText w:val="%1."/>
      <w:lvlJc w:val="left"/>
      <w:pPr>
        <w:ind w:left="720" w:hanging="360"/>
      </w:pPr>
    </w:lvl>
    <w:lvl w:ilvl="1" w:tplc="A7E8F578">
      <w:start w:val="1"/>
      <w:numFmt w:val="lowerLetter"/>
      <w:lvlText w:val="%2."/>
      <w:lvlJc w:val="left"/>
      <w:pPr>
        <w:ind w:left="1440" w:hanging="360"/>
      </w:pPr>
    </w:lvl>
    <w:lvl w:ilvl="2" w:tplc="C3FE8A06">
      <w:start w:val="1"/>
      <w:numFmt w:val="lowerRoman"/>
      <w:lvlText w:val="%3."/>
      <w:lvlJc w:val="right"/>
      <w:pPr>
        <w:ind w:left="2160" w:hanging="180"/>
      </w:pPr>
    </w:lvl>
    <w:lvl w:ilvl="3" w:tplc="89AC34A8">
      <w:start w:val="1"/>
      <w:numFmt w:val="decimal"/>
      <w:lvlText w:val="%4."/>
      <w:lvlJc w:val="left"/>
      <w:pPr>
        <w:ind w:left="2880" w:hanging="360"/>
      </w:pPr>
    </w:lvl>
    <w:lvl w:ilvl="4" w:tplc="84146742">
      <w:start w:val="1"/>
      <w:numFmt w:val="lowerLetter"/>
      <w:lvlText w:val="%5."/>
      <w:lvlJc w:val="left"/>
      <w:pPr>
        <w:ind w:left="3600" w:hanging="360"/>
      </w:pPr>
    </w:lvl>
    <w:lvl w:ilvl="5" w:tplc="D9EEF83C">
      <w:start w:val="1"/>
      <w:numFmt w:val="lowerRoman"/>
      <w:lvlText w:val="%6."/>
      <w:lvlJc w:val="right"/>
      <w:pPr>
        <w:ind w:left="4320" w:hanging="180"/>
      </w:pPr>
    </w:lvl>
    <w:lvl w:ilvl="6" w:tplc="A82C2DCC">
      <w:start w:val="1"/>
      <w:numFmt w:val="decimal"/>
      <w:lvlText w:val="%7."/>
      <w:lvlJc w:val="left"/>
      <w:pPr>
        <w:ind w:left="5040" w:hanging="360"/>
      </w:pPr>
    </w:lvl>
    <w:lvl w:ilvl="7" w:tplc="53CAED52">
      <w:start w:val="1"/>
      <w:numFmt w:val="lowerLetter"/>
      <w:lvlText w:val="%8."/>
      <w:lvlJc w:val="left"/>
      <w:pPr>
        <w:ind w:left="5760" w:hanging="360"/>
      </w:pPr>
    </w:lvl>
    <w:lvl w:ilvl="8" w:tplc="1C2048B2">
      <w:start w:val="1"/>
      <w:numFmt w:val="lowerRoman"/>
      <w:lvlText w:val="%9."/>
      <w:lvlJc w:val="right"/>
      <w:pPr>
        <w:ind w:left="6480" w:hanging="180"/>
      </w:pPr>
    </w:lvl>
  </w:abstractNum>
  <w:abstractNum w:abstractNumId="13"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F4FF02"/>
    <w:multiLevelType w:val="hybridMultilevel"/>
    <w:tmpl w:val="FFFFFFFF"/>
    <w:lvl w:ilvl="0" w:tplc="1E5C2428">
      <w:start w:val="1"/>
      <w:numFmt w:val="bullet"/>
      <w:lvlText w:val=""/>
      <w:lvlJc w:val="left"/>
      <w:pPr>
        <w:ind w:left="720" w:hanging="360"/>
      </w:pPr>
      <w:rPr>
        <w:rFonts w:ascii="Symbol" w:hAnsi="Symbol" w:hint="default"/>
      </w:rPr>
    </w:lvl>
    <w:lvl w:ilvl="1" w:tplc="59FA51F4">
      <w:start w:val="1"/>
      <w:numFmt w:val="bullet"/>
      <w:lvlText w:val="o"/>
      <w:lvlJc w:val="left"/>
      <w:pPr>
        <w:ind w:left="1440" w:hanging="360"/>
      </w:pPr>
      <w:rPr>
        <w:rFonts w:ascii="Courier New" w:hAnsi="Courier New" w:hint="default"/>
      </w:rPr>
    </w:lvl>
    <w:lvl w:ilvl="2" w:tplc="4ED0F3B6">
      <w:start w:val="1"/>
      <w:numFmt w:val="bullet"/>
      <w:lvlText w:val=""/>
      <w:lvlJc w:val="left"/>
      <w:pPr>
        <w:ind w:left="2160" w:hanging="360"/>
      </w:pPr>
      <w:rPr>
        <w:rFonts w:ascii="Wingdings" w:hAnsi="Wingdings" w:hint="default"/>
      </w:rPr>
    </w:lvl>
    <w:lvl w:ilvl="3" w:tplc="44BC2F48">
      <w:start w:val="1"/>
      <w:numFmt w:val="bullet"/>
      <w:lvlText w:val=""/>
      <w:lvlJc w:val="left"/>
      <w:pPr>
        <w:ind w:left="2880" w:hanging="360"/>
      </w:pPr>
      <w:rPr>
        <w:rFonts w:ascii="Symbol" w:hAnsi="Symbol" w:hint="default"/>
      </w:rPr>
    </w:lvl>
    <w:lvl w:ilvl="4" w:tplc="26AAD4A2">
      <w:start w:val="1"/>
      <w:numFmt w:val="bullet"/>
      <w:lvlText w:val="o"/>
      <w:lvlJc w:val="left"/>
      <w:pPr>
        <w:ind w:left="3600" w:hanging="360"/>
      </w:pPr>
      <w:rPr>
        <w:rFonts w:ascii="Courier New" w:hAnsi="Courier New" w:hint="default"/>
      </w:rPr>
    </w:lvl>
    <w:lvl w:ilvl="5" w:tplc="DA347DCC">
      <w:start w:val="1"/>
      <w:numFmt w:val="bullet"/>
      <w:lvlText w:val=""/>
      <w:lvlJc w:val="left"/>
      <w:pPr>
        <w:ind w:left="4320" w:hanging="360"/>
      </w:pPr>
      <w:rPr>
        <w:rFonts w:ascii="Wingdings" w:hAnsi="Wingdings" w:hint="default"/>
      </w:rPr>
    </w:lvl>
    <w:lvl w:ilvl="6" w:tplc="6D66467E">
      <w:start w:val="1"/>
      <w:numFmt w:val="bullet"/>
      <w:lvlText w:val=""/>
      <w:lvlJc w:val="left"/>
      <w:pPr>
        <w:ind w:left="5040" w:hanging="360"/>
      </w:pPr>
      <w:rPr>
        <w:rFonts w:ascii="Symbol" w:hAnsi="Symbol" w:hint="default"/>
      </w:rPr>
    </w:lvl>
    <w:lvl w:ilvl="7" w:tplc="BF9A119E">
      <w:start w:val="1"/>
      <w:numFmt w:val="bullet"/>
      <w:lvlText w:val="o"/>
      <w:lvlJc w:val="left"/>
      <w:pPr>
        <w:ind w:left="5760" w:hanging="360"/>
      </w:pPr>
      <w:rPr>
        <w:rFonts w:ascii="Courier New" w:hAnsi="Courier New" w:hint="default"/>
      </w:rPr>
    </w:lvl>
    <w:lvl w:ilvl="8" w:tplc="5AFE379E">
      <w:start w:val="1"/>
      <w:numFmt w:val="bullet"/>
      <w:lvlText w:val=""/>
      <w:lvlJc w:val="left"/>
      <w:pPr>
        <w:ind w:left="6480" w:hanging="360"/>
      </w:pPr>
      <w:rPr>
        <w:rFonts w:ascii="Wingdings" w:hAnsi="Wingdings" w:hint="default"/>
      </w:rPr>
    </w:lvl>
  </w:abstractNum>
  <w:abstractNum w:abstractNumId="19" w15:restartNumberingAfterBreak="0">
    <w:nsid w:val="5E881667"/>
    <w:multiLevelType w:val="hybridMultilevel"/>
    <w:tmpl w:val="FFFFFFFF"/>
    <w:lvl w:ilvl="0" w:tplc="80584104">
      <w:start w:val="1"/>
      <w:numFmt w:val="bullet"/>
      <w:lvlText w:val=""/>
      <w:lvlJc w:val="left"/>
      <w:pPr>
        <w:ind w:left="720" w:hanging="360"/>
      </w:pPr>
      <w:rPr>
        <w:rFonts w:ascii="Symbol" w:hAnsi="Symbol" w:hint="default"/>
      </w:rPr>
    </w:lvl>
    <w:lvl w:ilvl="1" w:tplc="9E72100E">
      <w:start w:val="1"/>
      <w:numFmt w:val="bullet"/>
      <w:lvlText w:val="o"/>
      <w:lvlJc w:val="left"/>
      <w:pPr>
        <w:ind w:left="1440" w:hanging="360"/>
      </w:pPr>
      <w:rPr>
        <w:rFonts w:ascii="Courier New" w:hAnsi="Courier New" w:hint="default"/>
      </w:rPr>
    </w:lvl>
    <w:lvl w:ilvl="2" w:tplc="2B1426EA">
      <w:start w:val="1"/>
      <w:numFmt w:val="bullet"/>
      <w:lvlText w:val=""/>
      <w:lvlJc w:val="left"/>
      <w:pPr>
        <w:ind w:left="2160" w:hanging="360"/>
      </w:pPr>
      <w:rPr>
        <w:rFonts w:ascii="Wingdings" w:hAnsi="Wingdings" w:hint="default"/>
      </w:rPr>
    </w:lvl>
    <w:lvl w:ilvl="3" w:tplc="350698FE">
      <w:start w:val="1"/>
      <w:numFmt w:val="bullet"/>
      <w:lvlText w:val=""/>
      <w:lvlJc w:val="left"/>
      <w:pPr>
        <w:ind w:left="2880" w:hanging="360"/>
      </w:pPr>
      <w:rPr>
        <w:rFonts w:ascii="Symbol" w:hAnsi="Symbol" w:hint="default"/>
      </w:rPr>
    </w:lvl>
    <w:lvl w:ilvl="4" w:tplc="C78863C4">
      <w:start w:val="1"/>
      <w:numFmt w:val="bullet"/>
      <w:lvlText w:val="o"/>
      <w:lvlJc w:val="left"/>
      <w:pPr>
        <w:ind w:left="3600" w:hanging="360"/>
      </w:pPr>
      <w:rPr>
        <w:rFonts w:ascii="Courier New" w:hAnsi="Courier New" w:hint="default"/>
      </w:rPr>
    </w:lvl>
    <w:lvl w:ilvl="5" w:tplc="BB181B3E">
      <w:start w:val="1"/>
      <w:numFmt w:val="bullet"/>
      <w:lvlText w:val=""/>
      <w:lvlJc w:val="left"/>
      <w:pPr>
        <w:ind w:left="4320" w:hanging="360"/>
      </w:pPr>
      <w:rPr>
        <w:rFonts w:ascii="Wingdings" w:hAnsi="Wingdings" w:hint="default"/>
      </w:rPr>
    </w:lvl>
    <w:lvl w:ilvl="6" w:tplc="6E563366">
      <w:start w:val="1"/>
      <w:numFmt w:val="bullet"/>
      <w:lvlText w:val=""/>
      <w:lvlJc w:val="left"/>
      <w:pPr>
        <w:ind w:left="5040" w:hanging="360"/>
      </w:pPr>
      <w:rPr>
        <w:rFonts w:ascii="Symbol" w:hAnsi="Symbol" w:hint="default"/>
      </w:rPr>
    </w:lvl>
    <w:lvl w:ilvl="7" w:tplc="2F845B02">
      <w:start w:val="1"/>
      <w:numFmt w:val="bullet"/>
      <w:lvlText w:val="o"/>
      <w:lvlJc w:val="left"/>
      <w:pPr>
        <w:ind w:left="5760" w:hanging="360"/>
      </w:pPr>
      <w:rPr>
        <w:rFonts w:ascii="Courier New" w:hAnsi="Courier New" w:hint="default"/>
      </w:rPr>
    </w:lvl>
    <w:lvl w:ilvl="8" w:tplc="D7404A82">
      <w:start w:val="1"/>
      <w:numFmt w:val="bullet"/>
      <w:lvlText w:val=""/>
      <w:lvlJc w:val="left"/>
      <w:pPr>
        <w:ind w:left="6480" w:hanging="360"/>
      </w:pPr>
      <w:rPr>
        <w:rFonts w:ascii="Wingdings" w:hAnsi="Wingdings" w:hint="default"/>
      </w:rPr>
    </w:lvl>
  </w:abstractNum>
  <w:abstractNum w:abstractNumId="20" w15:restartNumberingAfterBreak="0">
    <w:nsid w:val="6049612B"/>
    <w:multiLevelType w:val="hybridMultilevel"/>
    <w:tmpl w:val="FFFFFFFF"/>
    <w:lvl w:ilvl="0" w:tplc="B3A2F6DA">
      <w:start w:val="1"/>
      <w:numFmt w:val="decimal"/>
      <w:lvlText w:val="%1."/>
      <w:lvlJc w:val="left"/>
      <w:pPr>
        <w:ind w:left="720" w:hanging="360"/>
      </w:pPr>
    </w:lvl>
    <w:lvl w:ilvl="1" w:tplc="C060D554">
      <w:start w:val="1"/>
      <w:numFmt w:val="lowerLetter"/>
      <w:lvlText w:val="%2."/>
      <w:lvlJc w:val="left"/>
      <w:pPr>
        <w:ind w:left="1440" w:hanging="360"/>
      </w:pPr>
    </w:lvl>
    <w:lvl w:ilvl="2" w:tplc="877623B2">
      <w:start w:val="1"/>
      <w:numFmt w:val="lowerRoman"/>
      <w:lvlText w:val="%3."/>
      <w:lvlJc w:val="right"/>
      <w:pPr>
        <w:ind w:left="2160" w:hanging="180"/>
      </w:pPr>
    </w:lvl>
    <w:lvl w:ilvl="3" w:tplc="DD1E86C2">
      <w:start w:val="1"/>
      <w:numFmt w:val="decimal"/>
      <w:lvlText w:val="%4."/>
      <w:lvlJc w:val="left"/>
      <w:pPr>
        <w:ind w:left="2880" w:hanging="360"/>
      </w:pPr>
    </w:lvl>
    <w:lvl w:ilvl="4" w:tplc="383A7F7A">
      <w:start w:val="1"/>
      <w:numFmt w:val="lowerLetter"/>
      <w:lvlText w:val="%5."/>
      <w:lvlJc w:val="left"/>
      <w:pPr>
        <w:ind w:left="3600" w:hanging="360"/>
      </w:pPr>
    </w:lvl>
    <w:lvl w:ilvl="5" w:tplc="0B1A62E4">
      <w:start w:val="1"/>
      <w:numFmt w:val="lowerRoman"/>
      <w:lvlText w:val="%6."/>
      <w:lvlJc w:val="right"/>
      <w:pPr>
        <w:ind w:left="4320" w:hanging="180"/>
      </w:pPr>
    </w:lvl>
    <w:lvl w:ilvl="6" w:tplc="43903F20">
      <w:start w:val="1"/>
      <w:numFmt w:val="decimal"/>
      <w:lvlText w:val="%7."/>
      <w:lvlJc w:val="left"/>
      <w:pPr>
        <w:ind w:left="5040" w:hanging="360"/>
      </w:pPr>
    </w:lvl>
    <w:lvl w:ilvl="7" w:tplc="13FC044A">
      <w:start w:val="1"/>
      <w:numFmt w:val="lowerLetter"/>
      <w:lvlText w:val="%8."/>
      <w:lvlJc w:val="left"/>
      <w:pPr>
        <w:ind w:left="5760" w:hanging="360"/>
      </w:pPr>
    </w:lvl>
    <w:lvl w:ilvl="8" w:tplc="D556039E">
      <w:start w:val="1"/>
      <w:numFmt w:val="lowerRoman"/>
      <w:lvlText w:val="%9."/>
      <w:lvlJc w:val="right"/>
      <w:pPr>
        <w:ind w:left="6480" w:hanging="180"/>
      </w:pPr>
    </w:lvl>
  </w:abstractNum>
  <w:abstractNum w:abstractNumId="21"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3"/>
  </w:num>
  <w:num w:numId="2" w16cid:durableId="1659112059">
    <w:abstractNumId w:val="22"/>
  </w:num>
  <w:num w:numId="3" w16cid:durableId="550456671">
    <w:abstractNumId w:val="23"/>
  </w:num>
  <w:num w:numId="4" w16cid:durableId="1440448415">
    <w:abstractNumId w:val="17"/>
  </w:num>
  <w:num w:numId="5" w16cid:durableId="317539527">
    <w:abstractNumId w:val="5"/>
  </w:num>
  <w:num w:numId="6" w16cid:durableId="170143435">
    <w:abstractNumId w:val="6"/>
  </w:num>
  <w:num w:numId="7" w16cid:durableId="1813594192">
    <w:abstractNumId w:val="3"/>
  </w:num>
  <w:num w:numId="8" w16cid:durableId="592780153">
    <w:abstractNumId w:val="8"/>
  </w:num>
  <w:num w:numId="9" w16cid:durableId="1222401817">
    <w:abstractNumId w:val="2"/>
  </w:num>
  <w:num w:numId="10" w16cid:durableId="2035036722">
    <w:abstractNumId w:val="15"/>
  </w:num>
  <w:num w:numId="11" w16cid:durableId="1352953256">
    <w:abstractNumId w:val="1"/>
  </w:num>
  <w:num w:numId="12" w16cid:durableId="1899127753">
    <w:abstractNumId w:val="16"/>
  </w:num>
  <w:num w:numId="13" w16cid:durableId="885915825">
    <w:abstractNumId w:val="21"/>
  </w:num>
  <w:num w:numId="14" w16cid:durableId="154301208">
    <w:abstractNumId w:val="14"/>
  </w:num>
  <w:num w:numId="15" w16cid:durableId="275672450">
    <w:abstractNumId w:val="4"/>
  </w:num>
  <w:num w:numId="16" w16cid:durableId="678193627">
    <w:abstractNumId w:val="24"/>
  </w:num>
  <w:num w:numId="17" w16cid:durableId="1794251462">
    <w:abstractNumId w:val="11"/>
  </w:num>
  <w:num w:numId="18" w16cid:durableId="166100122">
    <w:abstractNumId w:val="25"/>
  </w:num>
  <w:num w:numId="19" w16cid:durableId="300497483">
    <w:abstractNumId w:val="0"/>
  </w:num>
  <w:num w:numId="20" w16cid:durableId="1933472594">
    <w:abstractNumId w:val="9"/>
  </w:num>
  <w:num w:numId="21" w16cid:durableId="492992890">
    <w:abstractNumId w:val="7"/>
  </w:num>
  <w:num w:numId="22" w16cid:durableId="1293562055">
    <w:abstractNumId w:val="18"/>
  </w:num>
  <w:num w:numId="23" w16cid:durableId="561067184">
    <w:abstractNumId w:val="10"/>
  </w:num>
  <w:num w:numId="24" w16cid:durableId="1763409398">
    <w:abstractNumId w:val="12"/>
  </w:num>
  <w:num w:numId="25" w16cid:durableId="1658462370">
    <w:abstractNumId w:val="19"/>
  </w:num>
  <w:num w:numId="26" w16cid:durableId="8485626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14C9"/>
    <w:rsid w:val="00044DF3"/>
    <w:rsid w:val="00071B22"/>
    <w:rsid w:val="00075E05"/>
    <w:rsid w:val="00082546"/>
    <w:rsid w:val="00101A24"/>
    <w:rsid w:val="00124093"/>
    <w:rsid w:val="00190A51"/>
    <w:rsid w:val="001A218C"/>
    <w:rsid w:val="001B2107"/>
    <w:rsid w:val="001D04F6"/>
    <w:rsid w:val="001D1836"/>
    <w:rsid w:val="001D51FD"/>
    <w:rsid w:val="001E0EE3"/>
    <w:rsid w:val="001F4532"/>
    <w:rsid w:val="00213513"/>
    <w:rsid w:val="00220876"/>
    <w:rsid w:val="00223F0E"/>
    <w:rsid w:val="00240544"/>
    <w:rsid w:val="00285B86"/>
    <w:rsid w:val="002E1EA7"/>
    <w:rsid w:val="003038A8"/>
    <w:rsid w:val="0033401E"/>
    <w:rsid w:val="00346044"/>
    <w:rsid w:val="003873E1"/>
    <w:rsid w:val="003A3A60"/>
    <w:rsid w:val="003C1B4D"/>
    <w:rsid w:val="003D0854"/>
    <w:rsid w:val="003E1BCB"/>
    <w:rsid w:val="003F4D85"/>
    <w:rsid w:val="00471C68"/>
    <w:rsid w:val="00473240"/>
    <w:rsid w:val="0048459F"/>
    <w:rsid w:val="004F2656"/>
    <w:rsid w:val="005212A0"/>
    <w:rsid w:val="00540F50"/>
    <w:rsid w:val="005A7E6B"/>
    <w:rsid w:val="005C11E8"/>
    <w:rsid w:val="005FB8F0"/>
    <w:rsid w:val="00601E86"/>
    <w:rsid w:val="00610160"/>
    <w:rsid w:val="00610941"/>
    <w:rsid w:val="00630263"/>
    <w:rsid w:val="00647915"/>
    <w:rsid w:val="00684A25"/>
    <w:rsid w:val="00687254"/>
    <w:rsid w:val="006A36A9"/>
    <w:rsid w:val="0073273B"/>
    <w:rsid w:val="00733522"/>
    <w:rsid w:val="00740748"/>
    <w:rsid w:val="00772C9F"/>
    <w:rsid w:val="007A1549"/>
    <w:rsid w:val="007C58DB"/>
    <w:rsid w:val="00811187"/>
    <w:rsid w:val="00851D39"/>
    <w:rsid w:val="00871BC4"/>
    <w:rsid w:val="00872494"/>
    <w:rsid w:val="008C2F2C"/>
    <w:rsid w:val="008D05A9"/>
    <w:rsid w:val="00940F08"/>
    <w:rsid w:val="00945780"/>
    <w:rsid w:val="0097575D"/>
    <w:rsid w:val="00987DD6"/>
    <w:rsid w:val="009B735B"/>
    <w:rsid w:val="00A06E45"/>
    <w:rsid w:val="00A23D81"/>
    <w:rsid w:val="00A32AF4"/>
    <w:rsid w:val="00A4596E"/>
    <w:rsid w:val="00A77F21"/>
    <w:rsid w:val="00AC144D"/>
    <w:rsid w:val="00AF4890"/>
    <w:rsid w:val="00B516BC"/>
    <w:rsid w:val="00B90CC8"/>
    <w:rsid w:val="00BD653D"/>
    <w:rsid w:val="00BF3C8A"/>
    <w:rsid w:val="00C45872"/>
    <w:rsid w:val="00C65741"/>
    <w:rsid w:val="00C66162"/>
    <w:rsid w:val="00C749E5"/>
    <w:rsid w:val="00C807D1"/>
    <w:rsid w:val="00C80819"/>
    <w:rsid w:val="00C96BCC"/>
    <w:rsid w:val="00CB083C"/>
    <w:rsid w:val="00CF0CC3"/>
    <w:rsid w:val="00D11976"/>
    <w:rsid w:val="00D765F9"/>
    <w:rsid w:val="00DA43A0"/>
    <w:rsid w:val="00DC2BFF"/>
    <w:rsid w:val="00DD3803"/>
    <w:rsid w:val="00DD5245"/>
    <w:rsid w:val="00DF1089"/>
    <w:rsid w:val="00DF79E1"/>
    <w:rsid w:val="00E167BE"/>
    <w:rsid w:val="00E2175C"/>
    <w:rsid w:val="00E34FAA"/>
    <w:rsid w:val="00E71566"/>
    <w:rsid w:val="00E73D36"/>
    <w:rsid w:val="00EE35AB"/>
    <w:rsid w:val="00EE7C7E"/>
    <w:rsid w:val="00F01364"/>
    <w:rsid w:val="00F6782A"/>
    <w:rsid w:val="00F70B70"/>
    <w:rsid w:val="00F70D85"/>
    <w:rsid w:val="00F90DD8"/>
    <w:rsid w:val="00FD7A39"/>
    <w:rsid w:val="0263AB35"/>
    <w:rsid w:val="02ABFD6D"/>
    <w:rsid w:val="035D6DA5"/>
    <w:rsid w:val="04155695"/>
    <w:rsid w:val="050905D6"/>
    <w:rsid w:val="050F0F61"/>
    <w:rsid w:val="05D279B1"/>
    <w:rsid w:val="0A07FA5C"/>
    <w:rsid w:val="0A4B698F"/>
    <w:rsid w:val="0AFEC3E1"/>
    <w:rsid w:val="0B49CF6C"/>
    <w:rsid w:val="0CCEE942"/>
    <w:rsid w:val="0CE811B8"/>
    <w:rsid w:val="10C4D028"/>
    <w:rsid w:val="110DA3DE"/>
    <w:rsid w:val="111B02D2"/>
    <w:rsid w:val="12268C23"/>
    <w:rsid w:val="133C916F"/>
    <w:rsid w:val="135E01F9"/>
    <w:rsid w:val="13B5BA92"/>
    <w:rsid w:val="1411F8D2"/>
    <w:rsid w:val="1586DB92"/>
    <w:rsid w:val="16CF4C1D"/>
    <w:rsid w:val="1714923A"/>
    <w:rsid w:val="17B047AA"/>
    <w:rsid w:val="1899E64B"/>
    <w:rsid w:val="19B274E0"/>
    <w:rsid w:val="19CC8D75"/>
    <w:rsid w:val="1AF24F60"/>
    <w:rsid w:val="1B084A02"/>
    <w:rsid w:val="1D4D0C3C"/>
    <w:rsid w:val="1D5E72E2"/>
    <w:rsid w:val="1E0B7073"/>
    <w:rsid w:val="1E5ABEE7"/>
    <w:rsid w:val="1E914F22"/>
    <w:rsid w:val="1EF58712"/>
    <w:rsid w:val="1EF6715C"/>
    <w:rsid w:val="20EDD713"/>
    <w:rsid w:val="2132E4A5"/>
    <w:rsid w:val="21539E1B"/>
    <w:rsid w:val="2187E5E5"/>
    <w:rsid w:val="224CDA88"/>
    <w:rsid w:val="2259A9B3"/>
    <w:rsid w:val="245991DD"/>
    <w:rsid w:val="2589129F"/>
    <w:rsid w:val="25AF39F0"/>
    <w:rsid w:val="266902F4"/>
    <w:rsid w:val="27B48FED"/>
    <w:rsid w:val="28005FEA"/>
    <w:rsid w:val="2951037F"/>
    <w:rsid w:val="29F69001"/>
    <w:rsid w:val="2C2866DB"/>
    <w:rsid w:val="2C4B527A"/>
    <w:rsid w:val="2C9752FC"/>
    <w:rsid w:val="2D38F603"/>
    <w:rsid w:val="2DDFD443"/>
    <w:rsid w:val="2F55DE3B"/>
    <w:rsid w:val="30A4A40A"/>
    <w:rsid w:val="31D2B011"/>
    <w:rsid w:val="32B6CEE6"/>
    <w:rsid w:val="342B758D"/>
    <w:rsid w:val="358F3D01"/>
    <w:rsid w:val="35E516DD"/>
    <w:rsid w:val="393825B8"/>
    <w:rsid w:val="394700AE"/>
    <w:rsid w:val="39585D61"/>
    <w:rsid w:val="39F2DD1A"/>
    <w:rsid w:val="3A909D9E"/>
    <w:rsid w:val="3AD34624"/>
    <w:rsid w:val="3B0DB5C9"/>
    <w:rsid w:val="3B2C716A"/>
    <w:rsid w:val="3BE45B3C"/>
    <w:rsid w:val="3CAE2453"/>
    <w:rsid w:val="3D6AA9D7"/>
    <w:rsid w:val="3E32A2D4"/>
    <w:rsid w:val="3F44C65C"/>
    <w:rsid w:val="427FF51A"/>
    <w:rsid w:val="433E8905"/>
    <w:rsid w:val="4344CCCD"/>
    <w:rsid w:val="43E777A3"/>
    <w:rsid w:val="4453879A"/>
    <w:rsid w:val="454DC03E"/>
    <w:rsid w:val="4658C20A"/>
    <w:rsid w:val="465B4F24"/>
    <w:rsid w:val="46EEEE55"/>
    <w:rsid w:val="4739E446"/>
    <w:rsid w:val="473B6EDB"/>
    <w:rsid w:val="48056FAF"/>
    <w:rsid w:val="4999A647"/>
    <w:rsid w:val="4B3E829F"/>
    <w:rsid w:val="4D1B6269"/>
    <w:rsid w:val="4DEC009D"/>
    <w:rsid w:val="4FEAAD24"/>
    <w:rsid w:val="5044B32C"/>
    <w:rsid w:val="51F50E4F"/>
    <w:rsid w:val="520BD340"/>
    <w:rsid w:val="526D113B"/>
    <w:rsid w:val="538A0106"/>
    <w:rsid w:val="5392182C"/>
    <w:rsid w:val="53B93642"/>
    <w:rsid w:val="53C9CBE4"/>
    <w:rsid w:val="53DCBA61"/>
    <w:rsid w:val="54AD20AE"/>
    <w:rsid w:val="54B61155"/>
    <w:rsid w:val="565D027E"/>
    <w:rsid w:val="572EA639"/>
    <w:rsid w:val="5767F5C3"/>
    <w:rsid w:val="57DE3322"/>
    <w:rsid w:val="580B9BAB"/>
    <w:rsid w:val="58B3CA43"/>
    <w:rsid w:val="590C86C1"/>
    <w:rsid w:val="590EA564"/>
    <w:rsid w:val="5A95715A"/>
    <w:rsid w:val="5AD88B41"/>
    <w:rsid w:val="5C37B976"/>
    <w:rsid w:val="5C4C93A0"/>
    <w:rsid w:val="5C62624E"/>
    <w:rsid w:val="5C80758D"/>
    <w:rsid w:val="5DC426E6"/>
    <w:rsid w:val="5E5199DB"/>
    <w:rsid w:val="60BD59C4"/>
    <w:rsid w:val="60BECD7E"/>
    <w:rsid w:val="6415E05C"/>
    <w:rsid w:val="64EE6666"/>
    <w:rsid w:val="65182133"/>
    <w:rsid w:val="65AF6050"/>
    <w:rsid w:val="65C03163"/>
    <w:rsid w:val="672F63CA"/>
    <w:rsid w:val="6785ADFE"/>
    <w:rsid w:val="6792F943"/>
    <w:rsid w:val="6821AEE0"/>
    <w:rsid w:val="6837DC5C"/>
    <w:rsid w:val="68E96073"/>
    <w:rsid w:val="6919476D"/>
    <w:rsid w:val="6A62BCE3"/>
    <w:rsid w:val="6B703B17"/>
    <w:rsid w:val="6BCADF1E"/>
    <w:rsid w:val="6CB4BCEE"/>
    <w:rsid w:val="6D7DDD97"/>
    <w:rsid w:val="6E3F8B5D"/>
    <w:rsid w:val="6EC07D81"/>
    <w:rsid w:val="6EE8F0B6"/>
    <w:rsid w:val="6F332CB5"/>
    <w:rsid w:val="6F6DC4B6"/>
    <w:rsid w:val="6FCD34EF"/>
    <w:rsid w:val="720408ED"/>
    <w:rsid w:val="72C17AA9"/>
    <w:rsid w:val="72ED7A64"/>
    <w:rsid w:val="735A60D7"/>
    <w:rsid w:val="74660FFF"/>
    <w:rsid w:val="74B0D5D8"/>
    <w:rsid w:val="74FAFC51"/>
    <w:rsid w:val="7590CD49"/>
    <w:rsid w:val="75F06812"/>
    <w:rsid w:val="764FDB2A"/>
    <w:rsid w:val="770DCF38"/>
    <w:rsid w:val="77A73411"/>
    <w:rsid w:val="77D6DB32"/>
    <w:rsid w:val="7828672F"/>
    <w:rsid w:val="792655A0"/>
    <w:rsid w:val="797CA05D"/>
    <w:rsid w:val="7AE5550F"/>
    <w:rsid w:val="7AF3A1DF"/>
    <w:rsid w:val="7B82E1FA"/>
    <w:rsid w:val="7BCB0C61"/>
    <w:rsid w:val="7C5C4C15"/>
    <w:rsid w:val="7D2D0D01"/>
    <w:rsid w:val="7D369F0A"/>
    <w:rsid w:val="7DCBF434"/>
    <w:rsid w:val="7E028A38"/>
    <w:rsid w:val="7F2DA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101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customStyle="1" w:styleId="Heading3Char">
    <w:name w:val="Heading 3 Char"/>
    <w:basedOn w:val="DefaultParagraphFont"/>
    <w:link w:val="Heading3"/>
    <w:uiPriority w:val="9"/>
    <w:rsid w:val="0061016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82066981">
      <w:bodyDiv w:val="1"/>
      <w:marLeft w:val="0"/>
      <w:marRight w:val="0"/>
      <w:marTop w:val="0"/>
      <w:marBottom w:val="0"/>
      <w:divBdr>
        <w:top w:val="none" w:sz="0" w:space="0" w:color="auto"/>
        <w:left w:val="none" w:sz="0" w:space="0" w:color="auto"/>
        <w:bottom w:val="none" w:sz="0" w:space="0" w:color="auto"/>
        <w:right w:val="none" w:sz="0" w:space="0" w:color="auto"/>
      </w:divBdr>
    </w:div>
    <w:div w:id="258949880">
      <w:bodyDiv w:val="1"/>
      <w:marLeft w:val="0"/>
      <w:marRight w:val="0"/>
      <w:marTop w:val="0"/>
      <w:marBottom w:val="0"/>
      <w:divBdr>
        <w:top w:val="none" w:sz="0" w:space="0" w:color="auto"/>
        <w:left w:val="none" w:sz="0" w:space="0" w:color="auto"/>
        <w:bottom w:val="none" w:sz="0" w:space="0" w:color="auto"/>
        <w:right w:val="none" w:sz="0" w:space="0" w:color="auto"/>
      </w:divBdr>
    </w:div>
    <w:div w:id="301421329">
      <w:bodyDiv w:val="1"/>
      <w:marLeft w:val="0"/>
      <w:marRight w:val="0"/>
      <w:marTop w:val="0"/>
      <w:marBottom w:val="0"/>
      <w:divBdr>
        <w:top w:val="none" w:sz="0" w:space="0" w:color="auto"/>
        <w:left w:val="none" w:sz="0" w:space="0" w:color="auto"/>
        <w:bottom w:val="none" w:sz="0" w:space="0" w:color="auto"/>
        <w:right w:val="none" w:sz="0" w:space="0" w:color="auto"/>
      </w:divBdr>
    </w:div>
    <w:div w:id="450519151">
      <w:bodyDiv w:val="1"/>
      <w:marLeft w:val="0"/>
      <w:marRight w:val="0"/>
      <w:marTop w:val="0"/>
      <w:marBottom w:val="0"/>
      <w:divBdr>
        <w:top w:val="none" w:sz="0" w:space="0" w:color="auto"/>
        <w:left w:val="none" w:sz="0" w:space="0" w:color="auto"/>
        <w:bottom w:val="none" w:sz="0" w:space="0" w:color="auto"/>
        <w:right w:val="none" w:sz="0" w:space="0" w:color="auto"/>
      </w:divBdr>
    </w:div>
    <w:div w:id="516240581">
      <w:bodyDiv w:val="1"/>
      <w:marLeft w:val="0"/>
      <w:marRight w:val="0"/>
      <w:marTop w:val="0"/>
      <w:marBottom w:val="0"/>
      <w:divBdr>
        <w:top w:val="none" w:sz="0" w:space="0" w:color="auto"/>
        <w:left w:val="none" w:sz="0" w:space="0" w:color="auto"/>
        <w:bottom w:val="none" w:sz="0" w:space="0" w:color="auto"/>
        <w:right w:val="none" w:sz="0" w:space="0" w:color="auto"/>
      </w:divBdr>
    </w:div>
    <w:div w:id="1174606541">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621103148">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mailto:tlilly@ggc.edu" TargetMode="External"/><Relationship Id="rId18" Type="http://schemas.openxmlformats.org/officeDocument/2006/relationships/hyperlink" Target="https://creativecommons.org/share-your-work/"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webSettings" Target="webSettings.xml"/><Relationship Id="rId12" Type="http://schemas.openxmlformats.org/officeDocument/2006/relationships/hyperlink" Target="mailto:rcooper5@ggc.edu" TargetMode="External"/><Relationship Id="rId17" Type="http://schemas.openxmlformats.org/officeDocument/2006/relationships/hyperlink" Target="mailto:ssteger@uga.edu" TargetMode="External"/><Relationship Id="rId2" Type="http://schemas.openxmlformats.org/officeDocument/2006/relationships/customXml" Target="../customXml/item2.xml"/><Relationship Id="rId16" Type="http://schemas.openxmlformats.org/officeDocument/2006/relationships/hyperlink" Target="mailto:msena@ggc.ed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law29@kennesaw.edu" TargetMode="External"/><Relationship Id="rId5" Type="http://schemas.openxmlformats.org/officeDocument/2006/relationships/styles" Target="styles.xml"/><Relationship Id="rId15" Type="http://schemas.openxmlformats.org/officeDocument/2006/relationships/hyperlink" Target="mailto:sbleyle@ggc.edu" TargetMode="External"/><Relationship Id="rId23" Type="http://schemas.openxmlformats.org/officeDocument/2006/relationships/theme" Target="theme/theme1.xml"/><Relationship Id="rId10" Type="http://schemas.openxmlformats.org/officeDocument/2006/relationships/hyperlink" Target="mailto:sdenny@ggc.edu" TargetMode="Externa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mailto:rflynn1@ggc.edu" TargetMode="External"/><Relationship Id="rId14" Type="http://schemas.openxmlformats.org/officeDocument/2006/relationships/hyperlink" Target="mailto:mpartridge1@ggc.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D6F58631D9BD4DB187CFB2A7931933" ma:contentTypeVersion="6" ma:contentTypeDescription="Create a new document." ma:contentTypeScope="" ma:versionID="7885bc15e178c220d5d2404c5b0f2b57">
  <xsd:schema xmlns:xsd="http://www.w3.org/2001/XMLSchema" xmlns:xs="http://www.w3.org/2001/XMLSchema" xmlns:p="http://schemas.microsoft.com/office/2006/metadata/properties" xmlns:ns2="a7383ffd-650d-47a4-8a3a-e42c5d7339e9" xmlns:ns3="7245b039-f727-4676-bd77-ad17a4874226" targetNamespace="http://schemas.microsoft.com/office/2006/metadata/properties" ma:root="true" ma:fieldsID="c4dc51ed72389b2a8d9a9fd0b861b9fe" ns2:_="" ns3:_="">
    <xsd:import namespace="a7383ffd-650d-47a4-8a3a-e42c5d7339e9"/>
    <xsd:import namespace="7245b039-f727-4676-bd77-ad17a48742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83ffd-650d-47a4-8a3a-e42c5d7339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45b039-f727-4676-bd77-ad17a48742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867693-4325-43A4-B3F3-125455CD4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83ffd-650d-47a4-8a3a-e42c5d7339e9"/>
    <ds:schemaRef ds:uri="7245b039-f727-4676-bd77-ad17a48742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15</Pages>
  <Words>4193</Words>
  <Characters>23905</Characters>
  <Application>Microsoft Office Word</Application>
  <DocSecurity>0</DocSecurity>
  <Lines>199</Lines>
  <Paragraphs>56</Paragraphs>
  <ScaleCrop>false</ScaleCrop>
  <Company>Valdosta State University</Company>
  <LinksUpToDate>false</LinksUpToDate>
  <CharactersWithSpaces>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Thomas Lilly</cp:lastModifiedBy>
  <cp:revision>33</cp:revision>
  <dcterms:created xsi:type="dcterms:W3CDTF">2025-04-28T15:31:00Z</dcterms:created>
  <dcterms:modified xsi:type="dcterms:W3CDTF">2025-05-12T19:47:00Z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0x01010070D6F58631D9BD4DB187CFB2A7931933</vt:lpwstr>
  </property>
</Properties>
</file>