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EDDB1" w14:textId="541293FF" w:rsidR="00906588" w:rsidRPr="00906588" w:rsidRDefault="00906588" w:rsidP="00165B58">
      <w:pPr>
        <w:spacing w:beforeAutospacing="1" w:after="0" w:afterAutospacing="1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5"/>
        <w:gridCol w:w="3581"/>
        <w:gridCol w:w="3334"/>
      </w:tblGrid>
      <w:tr w:rsidR="000F209A" w:rsidRPr="00D41D9C" w14:paraId="643BC630" w14:textId="77777777" w:rsidTr="000F209A">
        <w:tc>
          <w:tcPr>
            <w:tcW w:w="2435" w:type="dxa"/>
          </w:tcPr>
          <w:p w14:paraId="6BF0B77C" w14:textId="77777777" w:rsidR="000F209A" w:rsidRDefault="000F209A" w:rsidP="00D41D9C">
            <w:pPr>
              <w:spacing w:before="20" w:afterLines="20" w:after="48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</w:pPr>
            <w:r w:rsidRPr="000F209A"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  <w:t>Module</w:t>
            </w:r>
          </w:p>
          <w:p w14:paraId="1299C09E" w14:textId="22B708E4" w:rsidR="00A22999" w:rsidRPr="00A22999" w:rsidRDefault="00A22999" w:rsidP="00D41D9C">
            <w:pPr>
              <w:spacing w:before="20" w:afterLines="20" w:after="48"/>
              <w:jc w:val="center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A22999">
              <w:rPr>
                <w:rFonts w:ascii="Calibri" w:eastAsia="Times New Roman" w:hAnsi="Calibri" w:cs="Calibri"/>
                <w:sz w:val="24"/>
                <w:szCs w:val="20"/>
              </w:rPr>
              <w:t>(Approximately 3-6 hours per module)</w:t>
            </w:r>
          </w:p>
        </w:tc>
        <w:tc>
          <w:tcPr>
            <w:tcW w:w="3581" w:type="dxa"/>
          </w:tcPr>
          <w:p w14:paraId="5CA2E240" w14:textId="2AF4F64D" w:rsidR="000F209A" w:rsidRPr="00D41D9C" w:rsidRDefault="000F209A" w:rsidP="00D41D9C">
            <w:pPr>
              <w:spacing w:before="20" w:afterLines="20" w:after="48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  <w:t>TEXTBOOK: Principles of Fraud Examination</w:t>
            </w:r>
          </w:p>
        </w:tc>
        <w:tc>
          <w:tcPr>
            <w:tcW w:w="3334" w:type="dxa"/>
          </w:tcPr>
          <w:p w14:paraId="6FCE9BCC" w14:textId="5281B1DE" w:rsidR="000F209A" w:rsidRPr="00D41D9C" w:rsidRDefault="000F209A" w:rsidP="00D41D9C">
            <w:pPr>
              <w:spacing w:before="20" w:afterLines="20" w:after="48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</w:pPr>
            <w:r w:rsidRPr="000F209A"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  <w:t>D2L Assignments &amp; Red Flag Mania Activities</w:t>
            </w:r>
          </w:p>
        </w:tc>
      </w:tr>
      <w:tr w:rsidR="000F209A" w:rsidRPr="00D41D9C" w14:paraId="5F97FA2A" w14:textId="77777777" w:rsidTr="000F209A">
        <w:tc>
          <w:tcPr>
            <w:tcW w:w="2435" w:type="dxa"/>
          </w:tcPr>
          <w:p w14:paraId="64C8C39B" w14:textId="40E6113E" w:rsidR="000F209A" w:rsidRPr="000F209A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</w:pPr>
            <w:r w:rsidRPr="000F209A"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  <w:t>One</w:t>
            </w:r>
          </w:p>
        </w:tc>
        <w:tc>
          <w:tcPr>
            <w:tcW w:w="3581" w:type="dxa"/>
          </w:tcPr>
          <w:p w14:paraId="642EFAA0" w14:textId="1C43816C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Chapter 1 Introduction</w:t>
            </w:r>
          </w:p>
        </w:tc>
        <w:tc>
          <w:tcPr>
            <w:tcW w:w="3334" w:type="dxa"/>
          </w:tcPr>
          <w:p w14:paraId="7951A822" w14:textId="21B7312D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>
              <w:rPr>
                <w:rFonts w:ascii="Calibri" w:eastAsia="Times New Roman" w:hAnsi="Calibri" w:cs="Calibri"/>
                <w:sz w:val="24"/>
                <w:szCs w:val="20"/>
              </w:rPr>
              <w:t>Week</w:t>
            </w: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 1</w:t>
            </w:r>
          </w:p>
          <w:p w14:paraId="4CAC22A7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</w:p>
          <w:p w14:paraId="02BA35B7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5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OpenStax Chapter 8 Reading Part 1 (8.1 -8.4)</w:t>
              </w:r>
            </w:hyperlink>
          </w:p>
          <w:p w14:paraId="3CAB672D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6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Hiscox Embezzlement Study</w:t>
              </w:r>
            </w:hyperlink>
          </w:p>
          <w:p w14:paraId="16A1FDF2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7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How to Spot a Liar TED Talk</w:t>
              </w:r>
            </w:hyperlink>
          </w:p>
        </w:tc>
      </w:tr>
      <w:tr w:rsidR="000F209A" w:rsidRPr="00D41D9C" w14:paraId="10C85DF9" w14:textId="77777777" w:rsidTr="000F209A">
        <w:tc>
          <w:tcPr>
            <w:tcW w:w="2435" w:type="dxa"/>
          </w:tcPr>
          <w:p w14:paraId="67C6CB78" w14:textId="2B4BA709" w:rsidR="000F209A" w:rsidRPr="000F209A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</w:pPr>
            <w:r w:rsidRPr="000F209A"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  <w:t>Two</w:t>
            </w:r>
          </w:p>
        </w:tc>
        <w:tc>
          <w:tcPr>
            <w:tcW w:w="3581" w:type="dxa"/>
          </w:tcPr>
          <w:p w14:paraId="64650183" w14:textId="5A6174B3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Chapter 1 Introduction</w:t>
            </w:r>
          </w:p>
        </w:tc>
        <w:tc>
          <w:tcPr>
            <w:tcW w:w="3334" w:type="dxa"/>
          </w:tcPr>
          <w:p w14:paraId="11F7D9C8" w14:textId="1F7FE2BA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>
              <w:rPr>
                <w:rFonts w:ascii="Calibri" w:eastAsia="Times New Roman" w:hAnsi="Calibri" w:cs="Calibri"/>
                <w:sz w:val="24"/>
                <w:szCs w:val="20"/>
              </w:rPr>
              <w:t>Week</w:t>
            </w: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 2</w:t>
            </w:r>
          </w:p>
          <w:p w14:paraId="6C6A834D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</w:p>
          <w:p w14:paraId="4D3C2346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8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OpenStax Chapter 8 Reading Part 2 (8.5 - 8.7)</w:t>
              </w:r>
            </w:hyperlink>
          </w:p>
          <w:p w14:paraId="1722097A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9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Chapter 1 Fraud: An Introduction</w:t>
              </w:r>
            </w:hyperlink>
          </w:p>
          <w:p w14:paraId="0FD24705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10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The Enron Fraud Explained</w:t>
              </w:r>
            </w:hyperlink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 </w:t>
            </w:r>
          </w:p>
          <w:p w14:paraId="10FB390D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11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Arthur Andersen Collapse</w:t>
              </w:r>
            </w:hyperlink>
          </w:p>
        </w:tc>
      </w:tr>
      <w:tr w:rsidR="000F209A" w:rsidRPr="00D41D9C" w14:paraId="398A127C" w14:textId="77777777" w:rsidTr="000F209A">
        <w:tc>
          <w:tcPr>
            <w:tcW w:w="2435" w:type="dxa"/>
          </w:tcPr>
          <w:p w14:paraId="5531935F" w14:textId="0BA4AD86" w:rsidR="000F209A" w:rsidRPr="000F209A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</w:pPr>
            <w:r w:rsidRPr="000F209A"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  <w:t>Three</w:t>
            </w:r>
          </w:p>
        </w:tc>
        <w:tc>
          <w:tcPr>
            <w:tcW w:w="3581" w:type="dxa"/>
          </w:tcPr>
          <w:p w14:paraId="71C9E069" w14:textId="51C03156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Chapter 1 Introduction</w:t>
            </w:r>
          </w:p>
        </w:tc>
        <w:tc>
          <w:tcPr>
            <w:tcW w:w="3334" w:type="dxa"/>
          </w:tcPr>
          <w:p w14:paraId="68B31CDF" w14:textId="429B4EA0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>
              <w:rPr>
                <w:rFonts w:ascii="Calibri" w:eastAsia="Times New Roman" w:hAnsi="Calibri" w:cs="Calibri"/>
                <w:sz w:val="24"/>
                <w:szCs w:val="20"/>
              </w:rPr>
              <w:t>Week</w:t>
            </w: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 3</w:t>
            </w:r>
          </w:p>
          <w:p w14:paraId="3A677340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</w:p>
          <w:p w14:paraId="2DBD28BB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12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Chapter 3 Psychology of the Fraudster</w:t>
              </w:r>
            </w:hyperlink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 </w:t>
            </w:r>
          </w:p>
          <w:p w14:paraId="4CD0568A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13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 xml:space="preserve">How People Rationalize Fraud </w:t>
              </w:r>
              <w:proofErr w:type="spellStart"/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TEDEd</w:t>
              </w:r>
              <w:proofErr w:type="spellEnd"/>
            </w:hyperlink>
          </w:p>
          <w:p w14:paraId="6F94C658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</w:p>
        </w:tc>
      </w:tr>
      <w:tr w:rsidR="000F209A" w:rsidRPr="00D41D9C" w14:paraId="22E77D99" w14:textId="77777777" w:rsidTr="000F209A">
        <w:tc>
          <w:tcPr>
            <w:tcW w:w="2435" w:type="dxa"/>
          </w:tcPr>
          <w:p w14:paraId="175CCE9A" w14:textId="3CCD41CA" w:rsidR="000F209A" w:rsidRPr="000F209A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</w:pPr>
            <w:r w:rsidRPr="000F209A"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  <w:t>Four</w:t>
            </w:r>
          </w:p>
        </w:tc>
        <w:tc>
          <w:tcPr>
            <w:tcW w:w="3581" w:type="dxa"/>
          </w:tcPr>
          <w:p w14:paraId="00F3E3E9" w14:textId="184B2F28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</w:p>
          <w:p w14:paraId="277B125A" w14:textId="77777777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</w:p>
          <w:p w14:paraId="377BBCB8" w14:textId="77777777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Chapter 3 Cash Larceny</w:t>
            </w:r>
          </w:p>
        </w:tc>
        <w:tc>
          <w:tcPr>
            <w:tcW w:w="3334" w:type="dxa"/>
          </w:tcPr>
          <w:p w14:paraId="2103C2C3" w14:textId="15735A04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>
              <w:rPr>
                <w:rFonts w:ascii="Calibri" w:eastAsia="Times New Roman" w:hAnsi="Calibri" w:cs="Calibri"/>
                <w:sz w:val="24"/>
                <w:szCs w:val="20"/>
              </w:rPr>
              <w:t>Week</w:t>
            </w: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 4</w:t>
            </w:r>
          </w:p>
          <w:p w14:paraId="285381D1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</w:p>
          <w:p w14:paraId="26A7F3A3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14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Chapter 7 Comparison: Forensic Investigations &amp; Financial Audits</w:t>
              </w:r>
            </w:hyperlink>
          </w:p>
          <w:p w14:paraId="143A7D59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15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All the Queen's Horses</w:t>
              </w:r>
            </w:hyperlink>
          </w:p>
        </w:tc>
      </w:tr>
      <w:tr w:rsidR="000F209A" w:rsidRPr="00D41D9C" w14:paraId="2B5E95BF" w14:textId="77777777" w:rsidTr="000F209A">
        <w:tc>
          <w:tcPr>
            <w:tcW w:w="2435" w:type="dxa"/>
          </w:tcPr>
          <w:p w14:paraId="2800A290" w14:textId="2D0D1789" w:rsidR="000F209A" w:rsidRPr="000F209A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</w:pPr>
            <w:r w:rsidRPr="000F209A"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  <w:lastRenderedPageBreak/>
              <w:t>Five</w:t>
            </w:r>
          </w:p>
        </w:tc>
        <w:tc>
          <w:tcPr>
            <w:tcW w:w="3581" w:type="dxa"/>
          </w:tcPr>
          <w:p w14:paraId="25CA2E40" w14:textId="63B4BE97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Chapters 2 – 8:</w:t>
            </w:r>
          </w:p>
          <w:p w14:paraId="585D14A8" w14:textId="77777777" w:rsidR="000F209A" w:rsidRPr="00D41D9C" w:rsidRDefault="000F209A" w:rsidP="00D41D9C">
            <w:pPr>
              <w:numPr>
                <w:ilvl w:val="0"/>
                <w:numId w:val="3"/>
              </w:numPr>
              <w:spacing w:before="20" w:afterLines="20" w:after="48"/>
              <w:contextualSpacing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Skimming</w:t>
            </w:r>
          </w:p>
          <w:p w14:paraId="05EE4ED8" w14:textId="77777777" w:rsidR="000F209A" w:rsidRPr="00D41D9C" w:rsidRDefault="000F209A" w:rsidP="00D41D9C">
            <w:pPr>
              <w:numPr>
                <w:ilvl w:val="0"/>
                <w:numId w:val="3"/>
              </w:numPr>
              <w:spacing w:before="20" w:afterLines="20" w:after="48"/>
              <w:contextualSpacing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Cash Larceny</w:t>
            </w:r>
          </w:p>
          <w:p w14:paraId="225377D5" w14:textId="77777777" w:rsidR="000F209A" w:rsidRPr="00D41D9C" w:rsidRDefault="000F209A" w:rsidP="00D41D9C">
            <w:pPr>
              <w:numPr>
                <w:ilvl w:val="0"/>
                <w:numId w:val="3"/>
              </w:numPr>
              <w:spacing w:before="20" w:afterLines="20" w:after="48"/>
              <w:contextualSpacing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Billing Schemes</w:t>
            </w:r>
          </w:p>
          <w:p w14:paraId="7728E52A" w14:textId="77777777" w:rsidR="000F209A" w:rsidRPr="00D41D9C" w:rsidRDefault="000F209A" w:rsidP="00D41D9C">
            <w:pPr>
              <w:numPr>
                <w:ilvl w:val="0"/>
                <w:numId w:val="3"/>
              </w:numPr>
              <w:spacing w:before="20" w:afterLines="20" w:after="48"/>
              <w:contextualSpacing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Check Tampering</w:t>
            </w:r>
          </w:p>
          <w:p w14:paraId="76EC84B3" w14:textId="77777777" w:rsidR="000F209A" w:rsidRPr="00D41D9C" w:rsidRDefault="000F209A" w:rsidP="00D41D9C">
            <w:pPr>
              <w:numPr>
                <w:ilvl w:val="0"/>
                <w:numId w:val="3"/>
              </w:numPr>
              <w:spacing w:before="20" w:afterLines="20" w:after="48"/>
              <w:contextualSpacing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Payroll Schemes</w:t>
            </w:r>
          </w:p>
          <w:p w14:paraId="6AABBE63" w14:textId="77777777" w:rsidR="000F209A" w:rsidRPr="00D41D9C" w:rsidRDefault="000F209A" w:rsidP="00D41D9C">
            <w:pPr>
              <w:numPr>
                <w:ilvl w:val="0"/>
                <w:numId w:val="3"/>
              </w:numPr>
              <w:spacing w:before="20" w:afterLines="20" w:after="48"/>
              <w:contextualSpacing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Expense Reimbursement Schemes</w:t>
            </w:r>
          </w:p>
          <w:p w14:paraId="59B3C371" w14:textId="77777777" w:rsidR="000F209A" w:rsidRPr="00D41D9C" w:rsidRDefault="000F209A" w:rsidP="00D41D9C">
            <w:pPr>
              <w:numPr>
                <w:ilvl w:val="0"/>
                <w:numId w:val="3"/>
              </w:numPr>
              <w:spacing w:before="20" w:afterLines="20" w:after="48"/>
              <w:contextualSpacing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Register Disbursement Schemes</w:t>
            </w:r>
          </w:p>
          <w:p w14:paraId="605D99F8" w14:textId="3354D378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</w:p>
        </w:tc>
        <w:tc>
          <w:tcPr>
            <w:tcW w:w="3334" w:type="dxa"/>
          </w:tcPr>
          <w:p w14:paraId="01E8A9B9" w14:textId="1324F609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>
              <w:rPr>
                <w:rFonts w:ascii="Calibri" w:eastAsia="Times New Roman" w:hAnsi="Calibri" w:cs="Calibri"/>
                <w:sz w:val="24"/>
                <w:szCs w:val="20"/>
              </w:rPr>
              <w:t>Week</w:t>
            </w: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 5</w:t>
            </w:r>
          </w:p>
          <w:p w14:paraId="55C3BD87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</w:p>
          <w:p w14:paraId="514ABB09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16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Chapter 8 Red Flags &amp; Fraud Detection Techniques</w:t>
              </w:r>
            </w:hyperlink>
          </w:p>
          <w:p w14:paraId="3AF634B1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17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 xml:space="preserve">Money Laundering </w:t>
              </w:r>
              <w:proofErr w:type="spellStart"/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TEDEd</w:t>
              </w:r>
              <w:proofErr w:type="spellEnd"/>
            </w:hyperlink>
          </w:p>
          <w:p w14:paraId="12503DC6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18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Financial Shenanigans</w:t>
              </w:r>
            </w:hyperlink>
          </w:p>
        </w:tc>
      </w:tr>
      <w:tr w:rsidR="000F209A" w:rsidRPr="00D41D9C" w14:paraId="095875E6" w14:textId="77777777" w:rsidTr="000F209A">
        <w:tc>
          <w:tcPr>
            <w:tcW w:w="2435" w:type="dxa"/>
          </w:tcPr>
          <w:p w14:paraId="4FC140CE" w14:textId="400E0E41" w:rsidR="000F209A" w:rsidRPr="000F209A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</w:pPr>
            <w:r w:rsidRPr="000F209A"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  <w:t>Six</w:t>
            </w:r>
          </w:p>
        </w:tc>
        <w:tc>
          <w:tcPr>
            <w:tcW w:w="3581" w:type="dxa"/>
          </w:tcPr>
          <w:p w14:paraId="66A3786E" w14:textId="402E6ABA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Chapter 11 Accounting Principles and Fraud</w:t>
            </w:r>
          </w:p>
          <w:p w14:paraId="28500F12" w14:textId="584183A0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</w:p>
        </w:tc>
        <w:tc>
          <w:tcPr>
            <w:tcW w:w="3334" w:type="dxa"/>
          </w:tcPr>
          <w:p w14:paraId="225EE9BA" w14:textId="62BCFB64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>
              <w:rPr>
                <w:rFonts w:ascii="Calibri" w:eastAsia="Times New Roman" w:hAnsi="Calibri" w:cs="Calibri"/>
                <w:sz w:val="24"/>
                <w:szCs w:val="20"/>
              </w:rPr>
              <w:t>Week</w:t>
            </w: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 6</w:t>
            </w:r>
          </w:p>
          <w:p w14:paraId="2E394349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</w:p>
          <w:p w14:paraId="65D722A1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19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Chapter 4 Financial Reporting Fraud &amp; the Capital Markets</w:t>
              </w:r>
            </w:hyperlink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 </w:t>
            </w:r>
          </w:p>
        </w:tc>
      </w:tr>
      <w:tr w:rsidR="000F209A" w:rsidRPr="00D41D9C" w14:paraId="59A96196" w14:textId="77777777" w:rsidTr="000F209A">
        <w:tc>
          <w:tcPr>
            <w:tcW w:w="2435" w:type="dxa"/>
          </w:tcPr>
          <w:p w14:paraId="52D9A0FD" w14:textId="57A8E8E1" w:rsidR="000F209A" w:rsidRPr="000F209A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</w:pPr>
            <w:r w:rsidRPr="000F209A"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  <w:t>Seven</w:t>
            </w:r>
          </w:p>
        </w:tc>
        <w:tc>
          <w:tcPr>
            <w:tcW w:w="3581" w:type="dxa"/>
          </w:tcPr>
          <w:p w14:paraId="6C5615D7" w14:textId="2C5EFB40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Chapter 12 Financial Statement Fraud Schemes</w:t>
            </w:r>
          </w:p>
        </w:tc>
        <w:tc>
          <w:tcPr>
            <w:tcW w:w="3334" w:type="dxa"/>
          </w:tcPr>
          <w:p w14:paraId="3D90DC15" w14:textId="6889DE6F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>
              <w:rPr>
                <w:rFonts w:ascii="Calibri" w:eastAsia="Times New Roman" w:hAnsi="Calibri" w:cs="Calibri"/>
                <w:sz w:val="24"/>
                <w:szCs w:val="20"/>
              </w:rPr>
              <w:t>Week</w:t>
            </w: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 7</w:t>
            </w:r>
          </w:p>
          <w:p w14:paraId="7957D895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</w:p>
          <w:p w14:paraId="3A1CCCDB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20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Chapter 10 Financial Statement Fraud: Revenue &amp; Receivables</w:t>
              </w:r>
            </w:hyperlink>
          </w:p>
          <w:p w14:paraId="7DEBC9CB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21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Waste Management F/S Fraud</w:t>
              </w:r>
            </w:hyperlink>
          </w:p>
        </w:tc>
      </w:tr>
      <w:tr w:rsidR="000F209A" w:rsidRPr="00D41D9C" w14:paraId="3655B156" w14:textId="77777777" w:rsidTr="000F209A">
        <w:tc>
          <w:tcPr>
            <w:tcW w:w="2435" w:type="dxa"/>
          </w:tcPr>
          <w:p w14:paraId="5C725416" w14:textId="18E6EF2F" w:rsidR="000F209A" w:rsidRPr="000F209A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</w:pPr>
            <w:r w:rsidRPr="000F209A"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  <w:t>Eight</w:t>
            </w:r>
          </w:p>
        </w:tc>
        <w:tc>
          <w:tcPr>
            <w:tcW w:w="3581" w:type="dxa"/>
          </w:tcPr>
          <w:p w14:paraId="5211A69C" w14:textId="473F24C4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Chapter 9 Non-Cash Assets</w:t>
            </w:r>
          </w:p>
          <w:p w14:paraId="0A3196D3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Chapter 10 Corruption</w:t>
            </w:r>
          </w:p>
          <w:p w14:paraId="17C773D9" w14:textId="71167C20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</w:p>
        </w:tc>
        <w:tc>
          <w:tcPr>
            <w:tcW w:w="3334" w:type="dxa"/>
          </w:tcPr>
          <w:p w14:paraId="59B414E3" w14:textId="5921DFB5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>
              <w:rPr>
                <w:rFonts w:ascii="Calibri" w:eastAsia="Times New Roman" w:hAnsi="Calibri" w:cs="Calibri"/>
                <w:sz w:val="24"/>
                <w:szCs w:val="20"/>
              </w:rPr>
              <w:t>Week</w:t>
            </w: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 8</w:t>
            </w:r>
          </w:p>
          <w:p w14:paraId="6C92261F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</w:p>
          <w:p w14:paraId="3DCD756A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22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Chapter 11 Financial Statement Fraud: Other Schemes &amp; Misappropriations</w:t>
              </w:r>
            </w:hyperlink>
          </w:p>
          <w:p w14:paraId="0E1E2A9E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23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Crazy Eddie</w:t>
              </w:r>
            </w:hyperlink>
          </w:p>
        </w:tc>
      </w:tr>
      <w:tr w:rsidR="000F209A" w:rsidRPr="00D41D9C" w14:paraId="230B07F1" w14:textId="77777777" w:rsidTr="000F209A">
        <w:tc>
          <w:tcPr>
            <w:tcW w:w="2435" w:type="dxa"/>
          </w:tcPr>
          <w:p w14:paraId="3493B684" w14:textId="3A226D16" w:rsidR="000F209A" w:rsidRPr="000F209A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</w:pPr>
            <w:r w:rsidRPr="000F209A"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  <w:t>Nine</w:t>
            </w:r>
          </w:p>
        </w:tc>
        <w:tc>
          <w:tcPr>
            <w:tcW w:w="3581" w:type="dxa"/>
          </w:tcPr>
          <w:p w14:paraId="10810417" w14:textId="2AAFC7E0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Chapter 17 Occupational Fraud &amp; Abuse: The Big Picture</w:t>
            </w:r>
          </w:p>
        </w:tc>
        <w:tc>
          <w:tcPr>
            <w:tcW w:w="3334" w:type="dxa"/>
          </w:tcPr>
          <w:p w14:paraId="4086A3A6" w14:textId="46897D00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>
              <w:rPr>
                <w:rFonts w:ascii="Calibri" w:eastAsia="Times New Roman" w:hAnsi="Calibri" w:cs="Calibri"/>
                <w:sz w:val="24"/>
                <w:szCs w:val="20"/>
              </w:rPr>
              <w:t>Week</w:t>
            </w: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 9</w:t>
            </w:r>
          </w:p>
          <w:p w14:paraId="0840E11D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</w:p>
          <w:p w14:paraId="3C08C5CA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24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Fraud &amp; the Trusted Employee</w:t>
              </w:r>
            </w:hyperlink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 </w:t>
            </w:r>
          </w:p>
          <w:p w14:paraId="3798AF53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25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Whistle Blowers Shape History TEDx DePaul University</w:t>
              </w:r>
            </w:hyperlink>
          </w:p>
          <w:p w14:paraId="1B9AEE7F" w14:textId="77777777" w:rsidR="000F209A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color w:val="0000FF"/>
                <w:sz w:val="24"/>
                <w:szCs w:val="20"/>
                <w:u w:val="single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26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CitiMortgage Whistle Blower</w:t>
              </w:r>
            </w:hyperlink>
          </w:p>
          <w:p w14:paraId="1BC734E3" w14:textId="77777777" w:rsidR="000F209A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</w:p>
          <w:p w14:paraId="778ACDED" w14:textId="77777777" w:rsidR="00A22999" w:rsidRPr="00D41D9C" w:rsidRDefault="00A22999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</w:p>
        </w:tc>
      </w:tr>
      <w:tr w:rsidR="000F209A" w:rsidRPr="00D41D9C" w14:paraId="7DA471D6" w14:textId="77777777" w:rsidTr="000F209A">
        <w:tc>
          <w:tcPr>
            <w:tcW w:w="2435" w:type="dxa"/>
          </w:tcPr>
          <w:p w14:paraId="201F9014" w14:textId="56B1002D" w:rsidR="000F209A" w:rsidRPr="000F209A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</w:pPr>
            <w:r w:rsidRPr="000F209A"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  <w:lastRenderedPageBreak/>
              <w:t>Ten</w:t>
            </w:r>
          </w:p>
        </w:tc>
        <w:tc>
          <w:tcPr>
            <w:tcW w:w="3581" w:type="dxa"/>
          </w:tcPr>
          <w:p w14:paraId="793C725A" w14:textId="13F1037D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Chapter 14 Fraud Risk Assessment</w:t>
            </w:r>
          </w:p>
        </w:tc>
        <w:tc>
          <w:tcPr>
            <w:tcW w:w="3334" w:type="dxa"/>
          </w:tcPr>
          <w:p w14:paraId="1EFBE3AE" w14:textId="7FCB06EF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>
              <w:rPr>
                <w:rFonts w:ascii="Calibri" w:eastAsia="Times New Roman" w:hAnsi="Calibri" w:cs="Calibri"/>
                <w:sz w:val="24"/>
                <w:szCs w:val="20"/>
              </w:rPr>
              <w:t>Week</w:t>
            </w: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 10</w:t>
            </w:r>
          </w:p>
          <w:p w14:paraId="405A3CCA" w14:textId="77777777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</w:p>
          <w:p w14:paraId="60DADC29" w14:textId="77777777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27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Creative Embezzlement</w:t>
              </w:r>
            </w:hyperlink>
          </w:p>
          <w:p w14:paraId="473CF560" w14:textId="77777777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b/>
                <w:sz w:val="24"/>
                <w:szCs w:val="20"/>
              </w:rPr>
              <w:t>Red Flag Mania Preparation</w:t>
            </w: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:</w:t>
            </w:r>
          </w:p>
          <w:p w14:paraId="089E2D9C" w14:textId="77777777" w:rsidR="000F209A" w:rsidRPr="00D41D9C" w:rsidRDefault="000F209A" w:rsidP="00D41D9C">
            <w:pPr>
              <w:numPr>
                <w:ilvl w:val="0"/>
                <w:numId w:val="2"/>
              </w:numPr>
              <w:spacing w:before="20" w:afterLines="20" w:after="48"/>
              <w:contextualSpacing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Ethics Model</w:t>
            </w:r>
          </w:p>
          <w:p w14:paraId="374862F5" w14:textId="77777777" w:rsidR="000F209A" w:rsidRPr="00D41D9C" w:rsidRDefault="000F209A" w:rsidP="00D41D9C">
            <w:pPr>
              <w:numPr>
                <w:ilvl w:val="0"/>
                <w:numId w:val="2"/>
              </w:numPr>
              <w:spacing w:before="20" w:afterLines="20" w:after="48"/>
              <w:contextualSpacing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Fraud Triangle</w:t>
            </w:r>
          </w:p>
          <w:p w14:paraId="6F092E10" w14:textId="77777777" w:rsidR="000F209A" w:rsidRPr="00D41D9C" w:rsidRDefault="000F209A" w:rsidP="00D41D9C">
            <w:pPr>
              <w:numPr>
                <w:ilvl w:val="0"/>
                <w:numId w:val="2"/>
              </w:numPr>
              <w:spacing w:before="20" w:afterLines="20" w:after="48"/>
              <w:contextualSpacing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Detecting Fraud</w:t>
            </w:r>
          </w:p>
          <w:p w14:paraId="4E390C94" w14:textId="77777777" w:rsidR="000F209A" w:rsidRPr="00D41D9C" w:rsidRDefault="000F209A" w:rsidP="00D41D9C">
            <w:pPr>
              <w:numPr>
                <w:ilvl w:val="0"/>
                <w:numId w:val="2"/>
              </w:numPr>
              <w:spacing w:before="20" w:afterLines="20" w:after="48"/>
              <w:contextualSpacing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When We Prey film</w:t>
            </w:r>
          </w:p>
        </w:tc>
      </w:tr>
      <w:tr w:rsidR="000F209A" w:rsidRPr="00D41D9C" w14:paraId="78C05593" w14:textId="77777777" w:rsidTr="000F209A">
        <w:tc>
          <w:tcPr>
            <w:tcW w:w="2435" w:type="dxa"/>
          </w:tcPr>
          <w:p w14:paraId="04443C15" w14:textId="6BF383D0" w:rsidR="000F209A" w:rsidRPr="000F209A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</w:pPr>
            <w:r w:rsidRPr="000F209A"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  <w:t>Eleven</w:t>
            </w:r>
          </w:p>
        </w:tc>
        <w:tc>
          <w:tcPr>
            <w:tcW w:w="3581" w:type="dxa"/>
          </w:tcPr>
          <w:p w14:paraId="28B02A69" w14:textId="5607CCAF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Chapter 14 Fraud Risk Assessment</w:t>
            </w:r>
          </w:p>
          <w:p w14:paraId="0798CC28" w14:textId="10AE2760" w:rsidR="000F209A" w:rsidRPr="00D41D9C" w:rsidRDefault="000F209A" w:rsidP="00C970D3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</w:p>
        </w:tc>
        <w:tc>
          <w:tcPr>
            <w:tcW w:w="3334" w:type="dxa"/>
          </w:tcPr>
          <w:p w14:paraId="0BDCD55A" w14:textId="6ED65F04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>
              <w:rPr>
                <w:rFonts w:ascii="Calibri" w:eastAsia="Times New Roman" w:hAnsi="Calibri" w:cs="Calibri"/>
                <w:sz w:val="24"/>
                <w:szCs w:val="20"/>
              </w:rPr>
              <w:t>Week</w:t>
            </w: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 11</w:t>
            </w:r>
          </w:p>
          <w:p w14:paraId="31F1A7BA" w14:textId="77777777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</w:p>
          <w:p w14:paraId="1EBC4FBB" w14:textId="77777777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28" w:history="1">
              <w:proofErr w:type="spellStart"/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Theranos</w:t>
              </w:r>
              <w:proofErr w:type="spellEnd"/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 xml:space="preserve"> &amp; Elizabeth Holmes</w:t>
              </w:r>
            </w:hyperlink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 </w:t>
            </w:r>
          </w:p>
          <w:p w14:paraId="394B8583" w14:textId="77777777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Link: </w:t>
            </w:r>
            <w:hyperlink r:id="rId29" w:history="1"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 xml:space="preserve">Upset </w:t>
              </w:r>
              <w:proofErr w:type="spellStart"/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>Theranos</w:t>
              </w:r>
              <w:proofErr w:type="spellEnd"/>
              <w:r w:rsidRPr="00D41D9C">
                <w:rPr>
                  <w:rFonts w:ascii="Calibri" w:eastAsia="Times New Roman" w:hAnsi="Calibri" w:cs="Calibri"/>
                  <w:color w:val="0000FF"/>
                  <w:sz w:val="24"/>
                  <w:szCs w:val="20"/>
                  <w:u w:val="single"/>
                </w:rPr>
                <w:t xml:space="preserve"> Patient</w:t>
              </w:r>
            </w:hyperlink>
          </w:p>
          <w:p w14:paraId="3E91C1B0" w14:textId="77777777" w:rsidR="000F209A" w:rsidRPr="00D41D9C" w:rsidRDefault="000F209A" w:rsidP="00AA4420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</w:p>
        </w:tc>
      </w:tr>
      <w:tr w:rsidR="000F209A" w:rsidRPr="00D41D9C" w14:paraId="5CC3631E" w14:textId="77777777" w:rsidTr="000F209A">
        <w:tc>
          <w:tcPr>
            <w:tcW w:w="2435" w:type="dxa"/>
          </w:tcPr>
          <w:p w14:paraId="54444819" w14:textId="250EE438" w:rsidR="000F209A" w:rsidRPr="000F209A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</w:pPr>
            <w:r w:rsidRPr="000F209A"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  <w:t>Twelve</w:t>
            </w:r>
          </w:p>
        </w:tc>
        <w:tc>
          <w:tcPr>
            <w:tcW w:w="3581" w:type="dxa"/>
          </w:tcPr>
          <w:p w14:paraId="059FE40A" w14:textId="2374D60C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Chapter 14 Fraud Risk Assessment</w:t>
            </w:r>
          </w:p>
          <w:p w14:paraId="61FBFC04" w14:textId="77777777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Chapter 15 Conducting Investigations &amp; Writing Reports</w:t>
            </w:r>
          </w:p>
          <w:p w14:paraId="1B0021FD" w14:textId="666A73C9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</w:p>
        </w:tc>
        <w:tc>
          <w:tcPr>
            <w:tcW w:w="3334" w:type="dxa"/>
          </w:tcPr>
          <w:p w14:paraId="6F24960A" w14:textId="1A6F0256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>
              <w:rPr>
                <w:rFonts w:ascii="Calibri" w:eastAsia="Times New Roman" w:hAnsi="Calibri" w:cs="Calibri"/>
                <w:sz w:val="24"/>
                <w:szCs w:val="20"/>
              </w:rPr>
              <w:t>Week</w:t>
            </w: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 12</w:t>
            </w:r>
          </w:p>
          <w:p w14:paraId="699CE123" w14:textId="77777777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</w:p>
          <w:p w14:paraId="4275DDF2" w14:textId="65560693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Red Flag Mania</w:t>
            </w:r>
            <w:r>
              <w:rPr>
                <w:rFonts w:ascii="Calibri" w:eastAsia="Times New Roman" w:hAnsi="Calibri" w:cs="Calibri"/>
                <w:sz w:val="24"/>
                <w:szCs w:val="20"/>
              </w:rPr>
              <w:t>:</w:t>
            </w: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sz w:val="24"/>
                <w:szCs w:val="20"/>
              </w:rPr>
              <w:t>Ethics Dash</w:t>
            </w:r>
          </w:p>
          <w:p w14:paraId="3ED06BC6" w14:textId="77777777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</w:p>
        </w:tc>
      </w:tr>
      <w:tr w:rsidR="000F209A" w:rsidRPr="00D41D9C" w14:paraId="743D9F5B" w14:textId="77777777" w:rsidTr="000F209A">
        <w:tc>
          <w:tcPr>
            <w:tcW w:w="2435" w:type="dxa"/>
          </w:tcPr>
          <w:p w14:paraId="22BF25F7" w14:textId="66264306" w:rsidR="000F209A" w:rsidRPr="000F209A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</w:pPr>
            <w:r w:rsidRPr="000F209A"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  <w:t>Thirteen</w:t>
            </w:r>
          </w:p>
        </w:tc>
        <w:tc>
          <w:tcPr>
            <w:tcW w:w="3581" w:type="dxa"/>
          </w:tcPr>
          <w:p w14:paraId="4293D29D" w14:textId="0F0A8C90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Chapter 15 Conducting Investigations &amp; Writing Reports </w:t>
            </w:r>
          </w:p>
        </w:tc>
        <w:tc>
          <w:tcPr>
            <w:tcW w:w="3334" w:type="dxa"/>
          </w:tcPr>
          <w:p w14:paraId="7EB64125" w14:textId="77777777" w:rsidR="000F209A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>
              <w:rPr>
                <w:rFonts w:ascii="Calibri" w:eastAsia="Times New Roman" w:hAnsi="Calibri" w:cs="Calibri"/>
                <w:sz w:val="24"/>
                <w:szCs w:val="20"/>
              </w:rPr>
              <w:t>Week</w:t>
            </w: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 13</w:t>
            </w:r>
          </w:p>
          <w:p w14:paraId="3C03AE2C" w14:textId="5A105D4A" w:rsidR="000F209A" w:rsidRDefault="00165B58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hyperlink r:id="rId30" w:history="1">
              <w:r w:rsidR="000F209A" w:rsidRPr="00AA4420">
                <w:rPr>
                  <w:rStyle w:val="Hyperlink"/>
                  <w:rFonts w:ascii="Calibri" w:eastAsia="Times New Roman" w:hAnsi="Calibri" w:cs="Calibri"/>
                  <w:kern w:val="2"/>
                  <w:sz w:val="24"/>
                  <w:szCs w:val="20"/>
                  <w14:ligatures w14:val="standardContextual"/>
                </w:rPr>
                <w:t>The $80 Million Health Care Fraud</w:t>
              </w:r>
            </w:hyperlink>
          </w:p>
        </w:tc>
      </w:tr>
      <w:tr w:rsidR="000F209A" w:rsidRPr="00D41D9C" w14:paraId="3E7B7439" w14:textId="77777777" w:rsidTr="000F209A">
        <w:trPr>
          <w:trHeight w:val="70"/>
        </w:trPr>
        <w:tc>
          <w:tcPr>
            <w:tcW w:w="2435" w:type="dxa"/>
          </w:tcPr>
          <w:p w14:paraId="743F324F" w14:textId="189AE3AB" w:rsidR="000F209A" w:rsidRPr="000F209A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</w:pPr>
            <w:r w:rsidRPr="000F209A"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  <w:t>Fourteen</w:t>
            </w:r>
          </w:p>
        </w:tc>
        <w:tc>
          <w:tcPr>
            <w:tcW w:w="3581" w:type="dxa"/>
          </w:tcPr>
          <w:p w14:paraId="4E8836FD" w14:textId="2F01D46D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Chapter 16 Interviewing Witnesses</w:t>
            </w:r>
          </w:p>
        </w:tc>
        <w:tc>
          <w:tcPr>
            <w:tcW w:w="3334" w:type="dxa"/>
          </w:tcPr>
          <w:p w14:paraId="5AB2548F" w14:textId="0DCF4768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>
              <w:rPr>
                <w:rFonts w:ascii="Calibri" w:eastAsia="Times New Roman" w:hAnsi="Calibri" w:cs="Calibri"/>
                <w:sz w:val="24"/>
                <w:szCs w:val="20"/>
              </w:rPr>
              <w:t>Week</w:t>
            </w: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 1</w:t>
            </w:r>
            <w:r>
              <w:rPr>
                <w:rFonts w:ascii="Calibri" w:eastAsia="Times New Roman" w:hAnsi="Calibri" w:cs="Calibri"/>
                <w:sz w:val="24"/>
                <w:szCs w:val="20"/>
              </w:rPr>
              <w:t>4</w:t>
            </w:r>
          </w:p>
          <w:p w14:paraId="0662EB30" w14:textId="77777777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</w:p>
          <w:p w14:paraId="1BE53FDF" w14:textId="6AB3C02F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Red Flag Mania</w:t>
            </w:r>
            <w:r>
              <w:rPr>
                <w:rFonts w:ascii="Calibri" w:eastAsia="Times New Roman" w:hAnsi="Calibri" w:cs="Calibri"/>
                <w:sz w:val="24"/>
                <w:szCs w:val="20"/>
              </w:rPr>
              <w:t>:</w:t>
            </w: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 Fraud Scheme Hunt </w:t>
            </w:r>
          </w:p>
          <w:p w14:paraId="44D000AA" w14:textId="0DA4EE40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</w:p>
          <w:p w14:paraId="7AB64B80" w14:textId="77777777" w:rsidR="000F209A" w:rsidRPr="00D41D9C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</w:p>
        </w:tc>
      </w:tr>
      <w:tr w:rsidR="000F209A" w:rsidRPr="00D41D9C" w14:paraId="16E928AF" w14:textId="77777777" w:rsidTr="000F209A">
        <w:trPr>
          <w:trHeight w:val="70"/>
        </w:trPr>
        <w:tc>
          <w:tcPr>
            <w:tcW w:w="2435" w:type="dxa"/>
          </w:tcPr>
          <w:p w14:paraId="2679287E" w14:textId="0EBFC03D" w:rsidR="000F209A" w:rsidRPr="000F209A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</w:pPr>
            <w:r w:rsidRPr="000F209A">
              <w:rPr>
                <w:rFonts w:ascii="Calibri" w:eastAsia="Times New Roman" w:hAnsi="Calibri" w:cs="Calibri"/>
                <w:b/>
                <w:bCs/>
                <w:sz w:val="24"/>
                <w:szCs w:val="20"/>
              </w:rPr>
              <w:t>Fifteen</w:t>
            </w:r>
          </w:p>
        </w:tc>
        <w:tc>
          <w:tcPr>
            <w:tcW w:w="3581" w:type="dxa"/>
          </w:tcPr>
          <w:p w14:paraId="38F5975C" w14:textId="6F72E99D" w:rsidR="000F209A" w:rsidRPr="00D41D9C" w:rsidRDefault="000F209A" w:rsidP="00D41D9C">
            <w:pPr>
              <w:spacing w:before="20" w:afterLines="20" w:after="48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>Chapter 16 Interviewing Witnesses</w:t>
            </w:r>
          </w:p>
        </w:tc>
        <w:tc>
          <w:tcPr>
            <w:tcW w:w="3334" w:type="dxa"/>
          </w:tcPr>
          <w:p w14:paraId="703458E2" w14:textId="77777777" w:rsidR="000F209A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>
              <w:rPr>
                <w:rFonts w:ascii="Calibri" w:eastAsia="Times New Roman" w:hAnsi="Calibri" w:cs="Calibri"/>
                <w:sz w:val="24"/>
                <w:szCs w:val="20"/>
              </w:rPr>
              <w:t>Week 15</w:t>
            </w:r>
          </w:p>
          <w:p w14:paraId="78E33521" w14:textId="77777777" w:rsidR="000F209A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>
              <w:rPr>
                <w:rFonts w:ascii="Calibri" w:eastAsia="Times New Roman" w:hAnsi="Calibri" w:cs="Calibri"/>
                <w:sz w:val="24"/>
                <w:szCs w:val="20"/>
              </w:rPr>
              <w:t>Fraud Scheme Hunt Final Exam</w:t>
            </w:r>
          </w:p>
          <w:p w14:paraId="40BC67DC" w14:textId="5FD03C7D" w:rsidR="000F209A" w:rsidRDefault="000F209A" w:rsidP="00D41D9C">
            <w:pPr>
              <w:spacing w:before="20" w:afterLines="20" w:after="48"/>
              <w:jc w:val="both"/>
              <w:rPr>
                <w:rFonts w:ascii="Calibri" w:eastAsia="Times New Roman" w:hAnsi="Calibri" w:cs="Calibri"/>
                <w:sz w:val="24"/>
                <w:szCs w:val="20"/>
              </w:rPr>
            </w:pPr>
            <w:r w:rsidRPr="00D41D9C">
              <w:rPr>
                <w:rFonts w:ascii="Calibri" w:eastAsia="Times New Roman" w:hAnsi="Calibri" w:cs="Calibri"/>
                <w:sz w:val="24"/>
                <w:szCs w:val="20"/>
              </w:rPr>
              <w:t xml:space="preserve">Course Reflection </w:t>
            </w:r>
            <w:r>
              <w:rPr>
                <w:rFonts w:ascii="Calibri" w:eastAsia="Times New Roman" w:hAnsi="Calibri" w:cs="Calibri"/>
                <w:sz w:val="24"/>
                <w:szCs w:val="20"/>
              </w:rPr>
              <w:t>Assignment</w:t>
            </w:r>
          </w:p>
        </w:tc>
      </w:tr>
    </w:tbl>
    <w:p w14:paraId="59C9C3EF" w14:textId="77777777" w:rsidR="00906588" w:rsidRDefault="00906588"/>
    <w:p w14:paraId="06B5F423" w14:textId="77777777" w:rsidR="00FE7A66" w:rsidRDefault="00FE7A66"/>
    <w:p w14:paraId="3E779F24" w14:textId="77777777" w:rsidR="00FE7A66" w:rsidRDefault="00FE7A66"/>
    <w:p w14:paraId="30B2857B" w14:textId="77777777" w:rsidR="00C970D3" w:rsidRDefault="00C970D3"/>
    <w:p w14:paraId="10E57B68" w14:textId="77777777" w:rsidR="00C970D3" w:rsidRDefault="00C970D3"/>
    <w:p w14:paraId="214B1D74" w14:textId="77777777" w:rsidR="00FE7A66" w:rsidRDefault="00FE7A66"/>
    <w:sectPr w:rsidR="00FE7A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C2199"/>
    <w:multiLevelType w:val="hybridMultilevel"/>
    <w:tmpl w:val="234ED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7F09AA"/>
    <w:multiLevelType w:val="hybridMultilevel"/>
    <w:tmpl w:val="FE98D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0427B4"/>
    <w:multiLevelType w:val="hybridMultilevel"/>
    <w:tmpl w:val="BDAC1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511509"/>
    <w:multiLevelType w:val="hybridMultilevel"/>
    <w:tmpl w:val="6E10B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7155BA"/>
    <w:multiLevelType w:val="multilevel"/>
    <w:tmpl w:val="30A81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A85107"/>
    <w:multiLevelType w:val="hybridMultilevel"/>
    <w:tmpl w:val="060097B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88041840">
    <w:abstractNumId w:val="4"/>
  </w:num>
  <w:num w:numId="2" w16cid:durableId="1622764265">
    <w:abstractNumId w:val="1"/>
  </w:num>
  <w:num w:numId="3" w16cid:durableId="1175731427">
    <w:abstractNumId w:val="0"/>
  </w:num>
  <w:num w:numId="4" w16cid:durableId="1493066339">
    <w:abstractNumId w:val="3"/>
  </w:num>
  <w:num w:numId="5" w16cid:durableId="755324167">
    <w:abstractNumId w:val="2"/>
  </w:num>
  <w:num w:numId="6" w16cid:durableId="9207168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588"/>
    <w:rsid w:val="000F209A"/>
    <w:rsid w:val="00165B58"/>
    <w:rsid w:val="007F2C2D"/>
    <w:rsid w:val="007F73B0"/>
    <w:rsid w:val="00906588"/>
    <w:rsid w:val="00924C17"/>
    <w:rsid w:val="00A22999"/>
    <w:rsid w:val="00AA4420"/>
    <w:rsid w:val="00B66AA3"/>
    <w:rsid w:val="00C970D3"/>
    <w:rsid w:val="00D3610D"/>
    <w:rsid w:val="00D41D9C"/>
    <w:rsid w:val="00D627E4"/>
    <w:rsid w:val="00FE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50B76"/>
  <w15:chartTrackingRefBased/>
  <w15:docId w15:val="{C0E5BBC5-F8A0-4633-87F3-01295584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7A66"/>
    <w:pPr>
      <w:keepNext/>
      <w:keepLines/>
      <w:spacing w:before="40" w:after="0" w:line="24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1D9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1D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1D9C"/>
    <w:pPr>
      <w:spacing w:after="200" w:line="240" w:lineRule="auto"/>
      <w:jc w:val="both"/>
    </w:pPr>
    <w:rPr>
      <w:rFonts w:eastAsia="Times New Roman" w:cs="Calibr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1D9C"/>
    <w:rPr>
      <w:rFonts w:eastAsia="Times New Roman" w:cs="Calibri"/>
      <w:kern w:val="0"/>
      <w:sz w:val="20"/>
      <w:szCs w:val="2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FE7A66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ListParagraph">
    <w:name w:val="List Paragraph"/>
    <w:basedOn w:val="Normal"/>
    <w:uiPriority w:val="34"/>
    <w:qFormat/>
    <w:rsid w:val="00FE7A66"/>
    <w:pPr>
      <w:spacing w:after="200" w:line="240" w:lineRule="auto"/>
      <w:ind w:left="720"/>
      <w:contextualSpacing/>
      <w:jc w:val="both"/>
    </w:pPr>
    <w:rPr>
      <w:rFonts w:eastAsia="Times New Roman" w:cstheme="minorHAnsi"/>
      <w:kern w:val="0"/>
      <w:sz w:val="24"/>
      <w:szCs w:val="20"/>
      <w14:ligatures w14:val="none"/>
    </w:rPr>
  </w:style>
  <w:style w:type="character" w:styleId="Hyperlink">
    <w:name w:val="Hyperlink"/>
    <w:basedOn w:val="DefaultParagraphFont"/>
    <w:uiPriority w:val="99"/>
    <w:unhideWhenUsed/>
    <w:rsid w:val="00AA44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44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66A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3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stax.org/books/principles-financial-accounting/pages/8-why-it-matters" TargetMode="External"/><Relationship Id="rId13" Type="http://schemas.openxmlformats.org/officeDocument/2006/relationships/hyperlink" Target="https://ed.ted.com/lessons/how-people-rationalize-fraud-kelly-richmond-pope" TargetMode="External"/><Relationship Id="rId18" Type="http://schemas.openxmlformats.org/officeDocument/2006/relationships/hyperlink" Target="https://www.cfainstitute.org/en/research/multimedia/2010/financial-shenanigans-how-to-detect-accounting-gimmicks-and-fraud-in-financial-reports" TargetMode="External"/><Relationship Id="rId26" Type="http://schemas.openxmlformats.org/officeDocument/2006/relationships/hyperlink" Target="https://nymag.com/vindicated/2016/11/sherry-hunt-took-on-one-of-the-worlds-biggest-banks-and-won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FhGiO-vcQ4g" TargetMode="External"/><Relationship Id="rId7" Type="http://schemas.openxmlformats.org/officeDocument/2006/relationships/hyperlink" Target="https://www.ted.com/talks/pamela_meyer_how_to_spot_a_liar?language=en" TargetMode="External"/><Relationship Id="rId12" Type="http://schemas.openxmlformats.org/officeDocument/2006/relationships/hyperlink" Target="http://160592857366.free.fr/joe/ebooks/Corporate%20Finance/Wiley%20A%20Guide%20to%20Forensic%20Accounting%20Investigation.pdf" TargetMode="External"/><Relationship Id="rId17" Type="http://schemas.openxmlformats.org/officeDocument/2006/relationships/hyperlink" Target="https://www.youtube.com/watch?v=257wV-AbKaE" TargetMode="External"/><Relationship Id="rId25" Type="http://schemas.openxmlformats.org/officeDocument/2006/relationships/hyperlink" Target="https://www.ted.com/talks/kelly_richmond_pope_how_whistle_blowers_shape_history?language=en" TargetMode="External"/><Relationship Id="rId2" Type="http://schemas.openxmlformats.org/officeDocument/2006/relationships/styles" Target="styles.xml"/><Relationship Id="rId16" Type="http://schemas.openxmlformats.org/officeDocument/2006/relationships/hyperlink" Target="http://160592857366.free.fr/joe/ebooks/Corporate%20Finance/Wiley%20A%20Guide%20to%20Forensic%20Accounting%20Investigation.pdf" TargetMode="External"/><Relationship Id="rId20" Type="http://schemas.openxmlformats.org/officeDocument/2006/relationships/hyperlink" Target="http://160592857366.free.fr/joe/ebooks/Corporate%20Finance/Wiley%20A%20Guide%20to%20Forensic%20Accounting%20Investigation.pdf" TargetMode="External"/><Relationship Id="rId29" Type="http://schemas.openxmlformats.org/officeDocument/2006/relationships/hyperlink" Target="https://www.wsj.com/video/theranos-patient-upset-by-test-results/4C7B6A0A-02E6-4916-9A37-E97EB7772F7C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hiscox.com/documents/2017-Hiscox-Embezzlement-Study.pdf" TargetMode="External"/><Relationship Id="rId11" Type="http://schemas.openxmlformats.org/officeDocument/2006/relationships/hyperlink" Target="https://www.youtube.com/watch?v=WO1QA80y7ZE" TargetMode="External"/><Relationship Id="rId24" Type="http://schemas.openxmlformats.org/officeDocument/2006/relationships/hyperlink" Target="https://www.fraud-magazine.com/article.aspx?id=4294976289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openstax.org/books/principles-financial-accounting/pages/8-why-it-matters" TargetMode="External"/><Relationship Id="rId15" Type="http://schemas.openxmlformats.org/officeDocument/2006/relationships/hyperlink" Target="https://www.youtube.com/watch?v=dpr2A3S3CNk" TargetMode="External"/><Relationship Id="rId23" Type="http://schemas.openxmlformats.org/officeDocument/2006/relationships/hyperlink" Target="https://www.youtube.com/watch?v=Ws9PGROHZzg" TargetMode="External"/><Relationship Id="rId28" Type="http://schemas.openxmlformats.org/officeDocument/2006/relationships/hyperlink" Target="https://www.marketwatch.com/story/the-investors-duped-by-the-theranos-fraud-never-asked-for-one-important-thing-2018-03-19" TargetMode="External"/><Relationship Id="rId10" Type="http://schemas.openxmlformats.org/officeDocument/2006/relationships/hyperlink" Target="https://www.youtube.com/watch?v=r-9QB58LWfs" TargetMode="External"/><Relationship Id="rId19" Type="http://schemas.openxmlformats.org/officeDocument/2006/relationships/hyperlink" Target="http://160592857366.free.fr/joe/ebooks/Corporate%20Finance/Wiley%20A%20Guide%20to%20Forensic%20Accounting%20Investigation.pdf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160592857366.free.fr/joe/ebooks/Corporate%20Finance/Wiley%20A%20Guide%20to%20Forensic%20Accounting%20Investigation.pdf" TargetMode="External"/><Relationship Id="rId14" Type="http://schemas.openxmlformats.org/officeDocument/2006/relationships/hyperlink" Target="http://160592857366.free.fr/joe/ebooks/Corporate%20Finance/Wiley%20A%20Guide%20to%20Forensic%20Accounting%20Investigation.pdf" TargetMode="External"/><Relationship Id="rId22" Type="http://schemas.openxmlformats.org/officeDocument/2006/relationships/hyperlink" Target="http://160592857366.free.fr/joe/ebooks/Corporate%20Finance/Wiley%20A%20Guide%20to%20Forensic%20Accounting%20Investigation.pdf" TargetMode="External"/><Relationship Id="rId27" Type="http://schemas.openxmlformats.org/officeDocument/2006/relationships/hyperlink" Target="https://www.fraud-magazine.com/article.aspx?id=4294991086" TargetMode="External"/><Relationship Id="rId30" Type="http://schemas.openxmlformats.org/officeDocument/2006/relationships/hyperlink" Target="https://www.aarp.org/money/scams-fraud/info-2023/dolson-avenue-medical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McCrary</dc:creator>
  <cp:keywords/>
  <dc:description/>
  <cp:lastModifiedBy>Sarah McCrary</cp:lastModifiedBy>
  <cp:revision>3</cp:revision>
  <cp:lastPrinted>2023-08-18T12:29:00Z</cp:lastPrinted>
  <dcterms:created xsi:type="dcterms:W3CDTF">2024-05-13T22:22:00Z</dcterms:created>
  <dcterms:modified xsi:type="dcterms:W3CDTF">2024-05-13T22:22:00Z</dcterms:modified>
</cp:coreProperties>
</file>