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D14AC" w14:textId="77777777" w:rsidR="00E167BE" w:rsidRPr="004F2656" w:rsidRDefault="00E167BE" w:rsidP="00285B86">
      <w:pPr>
        <w:pStyle w:val="Title"/>
      </w:pPr>
      <w:r w:rsidRPr="004F2656">
        <w:t xml:space="preserve">Affordable Learning Georgia Textbook Transformation Grants </w:t>
      </w:r>
    </w:p>
    <w:p w14:paraId="6A2EAF46" w14:textId="77777777" w:rsidR="00346044" w:rsidRPr="004F2656" w:rsidRDefault="00346044" w:rsidP="00285B86">
      <w:pPr>
        <w:pStyle w:val="Subtitle"/>
      </w:pPr>
      <w:r w:rsidRPr="004F2656">
        <w:t xml:space="preserve">Final </w:t>
      </w:r>
      <w:r w:rsidRPr="00285B86">
        <w:t>Report</w:t>
      </w:r>
    </w:p>
    <w:p w14:paraId="1D496630" w14:textId="208777A9" w:rsidR="0033401E" w:rsidRPr="00871BC4" w:rsidRDefault="0033401E" w:rsidP="0073273B">
      <w:pPr>
        <w:rPr>
          <w:iCs/>
          <w:sz w:val="24"/>
          <w:szCs w:val="24"/>
        </w:rPr>
      </w:pPr>
      <w:r w:rsidRPr="00871BC4">
        <w:rPr>
          <w:iCs/>
          <w:sz w:val="24"/>
          <w:szCs w:val="24"/>
        </w:rPr>
        <w:t xml:space="preserve">To submit your Final Report, go to the </w:t>
      </w:r>
      <w:hyperlink r:id="rId10" w:history="1">
        <w:r w:rsidRPr="003F4D85">
          <w:rPr>
            <w:rStyle w:val="Hyperlink"/>
            <w:iCs/>
            <w:sz w:val="24"/>
            <w:szCs w:val="24"/>
          </w:rPr>
          <w:t>Final Report submission page</w:t>
        </w:r>
      </w:hyperlink>
      <w:r w:rsidRPr="00871BC4">
        <w:rPr>
          <w:iCs/>
          <w:sz w:val="24"/>
          <w:szCs w:val="24"/>
        </w:rPr>
        <w:t xml:space="preserve"> on the ALG website</w:t>
      </w:r>
      <w:r w:rsidR="00630263" w:rsidRPr="00871BC4">
        <w:rPr>
          <w:iCs/>
          <w:sz w:val="24"/>
          <w:szCs w:val="24"/>
        </w:rPr>
        <w:t>:</w:t>
      </w:r>
      <w:r w:rsidRPr="00871BC4">
        <w:rPr>
          <w:iCs/>
          <w:sz w:val="24"/>
          <w:szCs w:val="24"/>
        </w:rPr>
        <w:t xml:space="preserve"> </w:t>
      </w:r>
      <w:r w:rsidR="00AF4890" w:rsidRPr="003F4D85">
        <w:rPr>
          <w:iCs/>
          <w:sz w:val="24"/>
          <w:szCs w:val="24"/>
        </w:rPr>
        <w:t>http://affordablelearninggeorgia.org/site/final_report_submission</w:t>
      </w:r>
    </w:p>
    <w:p w14:paraId="67CBE099" w14:textId="47251BA6" w:rsidR="0033401E" w:rsidRPr="00871BC4" w:rsidRDefault="00D11976" w:rsidP="0033401E">
      <w:pPr>
        <w:rPr>
          <w:iCs/>
          <w:sz w:val="24"/>
          <w:szCs w:val="24"/>
        </w:rPr>
      </w:pPr>
      <w:r w:rsidRPr="00871BC4">
        <w:rPr>
          <w:iCs/>
          <w:sz w:val="24"/>
          <w:szCs w:val="24"/>
        </w:rPr>
        <w:t>The final report submission form allows up to five f</w:t>
      </w:r>
      <w:r w:rsidR="0033401E" w:rsidRPr="00871BC4">
        <w:rPr>
          <w:iCs/>
          <w:sz w:val="24"/>
          <w:szCs w:val="24"/>
        </w:rPr>
        <w:t xml:space="preserve">iles: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folder </w:t>
      </w:r>
    </w:p>
    <w:p w14:paraId="22ECA3EE" w14:textId="491F4E24"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(required)</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f multiple files, compress into one .zip folder</w:t>
      </w:r>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37958572" w:rsidR="00687254" w:rsidRDefault="00687254" w:rsidP="00687254">
      <w:pPr>
        <w:ind w:left="360"/>
        <w:rPr>
          <w:b/>
          <w:sz w:val="24"/>
          <w:szCs w:val="24"/>
        </w:rPr>
      </w:pPr>
      <w:r w:rsidRPr="004F2656">
        <w:rPr>
          <w:b/>
          <w:sz w:val="24"/>
          <w:szCs w:val="24"/>
        </w:rPr>
        <w:t>Date</w:t>
      </w:r>
      <w:r w:rsidR="003E1BCB" w:rsidRPr="004F2656">
        <w:rPr>
          <w:b/>
          <w:sz w:val="24"/>
          <w:szCs w:val="24"/>
        </w:rPr>
        <w:t>:</w:t>
      </w:r>
      <w:r w:rsidR="003070F9">
        <w:rPr>
          <w:b/>
          <w:sz w:val="24"/>
          <w:szCs w:val="24"/>
        </w:rPr>
        <w:t xml:space="preserve"> 5/17/2021</w:t>
      </w:r>
    </w:p>
    <w:p w14:paraId="1CB2C16B" w14:textId="3A17C072" w:rsidR="0033401E" w:rsidRPr="004F2656" w:rsidRDefault="0033401E" w:rsidP="00687254">
      <w:pPr>
        <w:ind w:left="360"/>
        <w:rPr>
          <w:b/>
          <w:sz w:val="24"/>
          <w:szCs w:val="24"/>
        </w:rPr>
      </w:pPr>
      <w:r>
        <w:rPr>
          <w:b/>
          <w:sz w:val="24"/>
          <w:szCs w:val="24"/>
        </w:rPr>
        <w:t>Grant Round:</w:t>
      </w:r>
      <w:r w:rsidR="003070F9">
        <w:rPr>
          <w:b/>
          <w:sz w:val="24"/>
          <w:szCs w:val="24"/>
        </w:rPr>
        <w:t xml:space="preserve"> 16</w:t>
      </w:r>
    </w:p>
    <w:p w14:paraId="41045492" w14:textId="12A8CACF"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3070F9">
        <w:rPr>
          <w:b/>
          <w:sz w:val="24"/>
          <w:szCs w:val="24"/>
        </w:rPr>
        <w:t xml:space="preserve"> #508</w:t>
      </w:r>
    </w:p>
    <w:p w14:paraId="65C4B013" w14:textId="2C128F6F"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3070F9">
        <w:rPr>
          <w:b/>
          <w:sz w:val="24"/>
          <w:szCs w:val="24"/>
        </w:rPr>
        <w:t xml:space="preserve"> </w:t>
      </w:r>
      <w:r w:rsidR="003070F9" w:rsidRPr="002B4631">
        <w:rPr>
          <w:b/>
        </w:rPr>
        <w:t>Kennesaw State University</w:t>
      </w:r>
    </w:p>
    <w:p w14:paraId="28FD8E6E" w14:textId="57099D32" w:rsidR="0033401E" w:rsidRPr="004F2656" w:rsidRDefault="0033401E" w:rsidP="0033401E">
      <w:pPr>
        <w:ind w:left="360"/>
        <w:rPr>
          <w:b/>
          <w:sz w:val="24"/>
          <w:szCs w:val="24"/>
        </w:rPr>
      </w:pPr>
      <w:r w:rsidRPr="004F2656">
        <w:rPr>
          <w:b/>
          <w:sz w:val="24"/>
          <w:szCs w:val="24"/>
        </w:rPr>
        <w:t>Project Lead:</w:t>
      </w:r>
      <w:r w:rsidR="003070F9">
        <w:rPr>
          <w:b/>
          <w:sz w:val="24"/>
          <w:szCs w:val="24"/>
        </w:rPr>
        <w:t xml:space="preserve"> Lin Li</w:t>
      </w:r>
    </w:p>
    <w:p w14:paraId="6A7C5B5B" w14:textId="26E069FF"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0A4F2585" w14:textId="37B53857" w:rsidR="003070F9" w:rsidRPr="003070F9" w:rsidRDefault="003070F9" w:rsidP="003070F9">
      <w:pPr>
        <w:pStyle w:val="ListParagraph"/>
        <w:numPr>
          <w:ilvl w:val="0"/>
          <w:numId w:val="20"/>
        </w:numPr>
        <w:rPr>
          <w:b/>
          <w:sz w:val="24"/>
          <w:szCs w:val="24"/>
        </w:rPr>
      </w:pPr>
      <w:r>
        <w:rPr>
          <w:bCs/>
          <w:sz w:val="24"/>
          <w:szCs w:val="24"/>
        </w:rPr>
        <w:t xml:space="preserve">Lin Li, Assistant Professor of Industrial and Systems Engineering, </w:t>
      </w:r>
      <w:hyperlink r:id="rId11" w:history="1">
        <w:r w:rsidRPr="005E55FA">
          <w:rPr>
            <w:rStyle w:val="Hyperlink"/>
            <w:bCs/>
            <w:sz w:val="24"/>
            <w:szCs w:val="24"/>
          </w:rPr>
          <w:t>lli19@kennesaw.edu</w:t>
        </w:r>
      </w:hyperlink>
      <w:r>
        <w:rPr>
          <w:bCs/>
          <w:sz w:val="24"/>
          <w:szCs w:val="24"/>
        </w:rPr>
        <w:t xml:space="preserve"> </w:t>
      </w:r>
    </w:p>
    <w:p w14:paraId="430C37C2" w14:textId="161F621B" w:rsidR="003070F9" w:rsidRPr="003070F9" w:rsidRDefault="003070F9" w:rsidP="003070F9">
      <w:pPr>
        <w:pStyle w:val="ListParagraph"/>
        <w:numPr>
          <w:ilvl w:val="0"/>
          <w:numId w:val="20"/>
        </w:numPr>
        <w:rPr>
          <w:b/>
          <w:sz w:val="24"/>
          <w:szCs w:val="24"/>
        </w:rPr>
      </w:pPr>
      <w:r>
        <w:rPr>
          <w:bCs/>
          <w:sz w:val="24"/>
          <w:szCs w:val="24"/>
        </w:rPr>
        <w:t xml:space="preserve">Robert Keyser, Associate Professor of Industrial and Systems Engineering. </w:t>
      </w:r>
      <w:hyperlink r:id="rId12" w:history="1">
        <w:r w:rsidRPr="005E55FA">
          <w:rPr>
            <w:rStyle w:val="Hyperlink"/>
            <w:bCs/>
            <w:sz w:val="24"/>
            <w:szCs w:val="24"/>
          </w:rPr>
          <w:t>rkeyser@kennesaw.edu</w:t>
        </w:r>
      </w:hyperlink>
    </w:p>
    <w:p w14:paraId="7E25646E" w14:textId="2BC058A8" w:rsidR="003070F9" w:rsidRPr="003070F9" w:rsidRDefault="003070F9" w:rsidP="003070F9">
      <w:pPr>
        <w:pStyle w:val="ListParagraph"/>
        <w:numPr>
          <w:ilvl w:val="0"/>
          <w:numId w:val="20"/>
        </w:numPr>
        <w:rPr>
          <w:b/>
          <w:sz w:val="24"/>
          <w:szCs w:val="24"/>
        </w:rPr>
      </w:pPr>
      <w:r>
        <w:rPr>
          <w:bCs/>
          <w:sz w:val="24"/>
          <w:szCs w:val="24"/>
        </w:rPr>
        <w:t xml:space="preserve">Meng Han, Assistant Professor of Information Technology, </w:t>
      </w:r>
      <w:hyperlink r:id="rId13" w:history="1">
        <w:r w:rsidRPr="005E55FA">
          <w:rPr>
            <w:rStyle w:val="Hyperlink"/>
            <w:bCs/>
            <w:sz w:val="24"/>
            <w:szCs w:val="24"/>
          </w:rPr>
          <w:t>mhan9@kennessaw.edu</w:t>
        </w:r>
      </w:hyperlink>
      <w:r>
        <w:rPr>
          <w:bCs/>
          <w:sz w:val="24"/>
          <w:szCs w:val="24"/>
        </w:rPr>
        <w:t xml:space="preserve"> </w:t>
      </w:r>
    </w:p>
    <w:p w14:paraId="46A62745" w14:textId="0D15E5EC" w:rsidR="00DF79E1" w:rsidRDefault="00DF79E1" w:rsidP="00E167BE">
      <w:pPr>
        <w:ind w:left="360"/>
        <w:rPr>
          <w:b/>
          <w:sz w:val="24"/>
          <w:szCs w:val="24"/>
        </w:rPr>
      </w:pPr>
      <w:r w:rsidRPr="004F2656">
        <w:rPr>
          <w:b/>
          <w:sz w:val="24"/>
          <w:szCs w:val="24"/>
        </w:rPr>
        <w:t>Course Name(s) and Course Numbers</w:t>
      </w:r>
      <w:r w:rsidR="003E1BCB" w:rsidRPr="004F2656">
        <w:rPr>
          <w:b/>
          <w:sz w:val="24"/>
          <w:szCs w:val="24"/>
        </w:rPr>
        <w:t>:</w:t>
      </w:r>
    </w:p>
    <w:p w14:paraId="1C224DC0" w14:textId="7258F4B9" w:rsidR="003070F9" w:rsidRPr="003070F9" w:rsidRDefault="003070F9" w:rsidP="003070F9">
      <w:pPr>
        <w:pStyle w:val="ListParagraph"/>
        <w:numPr>
          <w:ilvl w:val="0"/>
          <w:numId w:val="21"/>
        </w:numPr>
        <w:rPr>
          <w:b/>
          <w:sz w:val="24"/>
          <w:szCs w:val="24"/>
        </w:rPr>
      </w:pPr>
      <w:r>
        <w:rPr>
          <w:bCs/>
          <w:sz w:val="24"/>
          <w:szCs w:val="24"/>
        </w:rPr>
        <w:t>ENGR 1100: Survey of Engineering Applications from Mathematics</w:t>
      </w:r>
    </w:p>
    <w:p w14:paraId="02373D7D" w14:textId="27B19AF0" w:rsidR="003070F9" w:rsidRPr="003070F9" w:rsidRDefault="003070F9" w:rsidP="003070F9">
      <w:pPr>
        <w:pStyle w:val="ListParagraph"/>
        <w:numPr>
          <w:ilvl w:val="0"/>
          <w:numId w:val="21"/>
        </w:numPr>
        <w:rPr>
          <w:b/>
          <w:sz w:val="24"/>
          <w:szCs w:val="24"/>
        </w:rPr>
      </w:pPr>
      <w:r>
        <w:rPr>
          <w:bCs/>
          <w:sz w:val="24"/>
          <w:szCs w:val="24"/>
        </w:rPr>
        <w:t>IET 4451: Systems Simulation</w:t>
      </w:r>
    </w:p>
    <w:p w14:paraId="3E617D79" w14:textId="31266EB3" w:rsidR="00DF79E1" w:rsidRPr="004F2656" w:rsidRDefault="00DF79E1" w:rsidP="00E167BE">
      <w:pPr>
        <w:ind w:left="360"/>
        <w:rPr>
          <w:b/>
          <w:sz w:val="24"/>
          <w:szCs w:val="24"/>
        </w:rPr>
      </w:pPr>
      <w:r w:rsidRPr="004F2656">
        <w:rPr>
          <w:b/>
          <w:sz w:val="24"/>
          <w:szCs w:val="24"/>
        </w:rPr>
        <w:lastRenderedPageBreak/>
        <w:t>Semester Project Began</w:t>
      </w:r>
      <w:r w:rsidR="003E1BCB" w:rsidRPr="004F2656">
        <w:rPr>
          <w:b/>
          <w:sz w:val="24"/>
          <w:szCs w:val="24"/>
        </w:rPr>
        <w:t>:</w:t>
      </w:r>
      <w:r w:rsidR="003070F9">
        <w:rPr>
          <w:b/>
          <w:sz w:val="24"/>
          <w:szCs w:val="24"/>
        </w:rPr>
        <w:t xml:space="preserve"> Spring 2020</w:t>
      </w:r>
    </w:p>
    <w:p w14:paraId="4D2A60B3" w14:textId="32729396"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3070F9">
        <w:rPr>
          <w:b/>
          <w:sz w:val="24"/>
          <w:szCs w:val="24"/>
        </w:rPr>
        <w:t xml:space="preserve"> Spring 2021</w:t>
      </w:r>
    </w:p>
    <w:p w14:paraId="6AA64C08" w14:textId="536A0213" w:rsidR="00DF79E1"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43450F">
        <w:rPr>
          <w:b/>
          <w:sz w:val="24"/>
          <w:szCs w:val="24"/>
        </w:rPr>
        <w:t xml:space="preserve"> Course Enrollment </w:t>
      </w:r>
    </w:p>
    <w:tbl>
      <w:tblPr>
        <w:tblStyle w:val="GridTable3-Accent1"/>
        <w:tblW w:w="0" w:type="auto"/>
        <w:tblInd w:w="612" w:type="dxa"/>
        <w:tblLook w:val="04A0" w:firstRow="1" w:lastRow="0" w:firstColumn="1" w:lastColumn="0" w:noHBand="0" w:noVBand="1"/>
      </w:tblPr>
      <w:tblGrid>
        <w:gridCol w:w="1530"/>
        <w:gridCol w:w="1915"/>
        <w:gridCol w:w="1723"/>
      </w:tblGrid>
      <w:tr w:rsidR="0043450F" w14:paraId="49558BA0" w14:textId="77777777" w:rsidTr="00DB52F1">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530" w:type="dxa"/>
          </w:tcPr>
          <w:p w14:paraId="52CE20E4" w14:textId="26DAAC8B" w:rsidR="0043450F" w:rsidRDefault="0043450F" w:rsidP="0043450F">
            <w:pPr>
              <w:jc w:val="left"/>
              <w:rPr>
                <w:b w:val="0"/>
                <w:sz w:val="24"/>
                <w:szCs w:val="24"/>
              </w:rPr>
            </w:pPr>
            <w:r>
              <w:rPr>
                <w:b w:val="0"/>
                <w:sz w:val="24"/>
                <w:szCs w:val="24"/>
              </w:rPr>
              <w:t>Enrollment</w:t>
            </w:r>
          </w:p>
        </w:tc>
        <w:tc>
          <w:tcPr>
            <w:tcW w:w="1915" w:type="dxa"/>
          </w:tcPr>
          <w:p w14:paraId="48D0AFFB" w14:textId="757385E1" w:rsidR="0043450F" w:rsidRDefault="0043450F" w:rsidP="00DB52F1">
            <w:pPr>
              <w:jc w:val="center"/>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Fall 2020</w:t>
            </w:r>
          </w:p>
        </w:tc>
        <w:tc>
          <w:tcPr>
            <w:tcW w:w="1723" w:type="dxa"/>
          </w:tcPr>
          <w:p w14:paraId="08FC1245" w14:textId="10998125" w:rsidR="0043450F" w:rsidRDefault="0043450F" w:rsidP="00DB52F1">
            <w:pPr>
              <w:jc w:val="center"/>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Spring 2021</w:t>
            </w:r>
          </w:p>
        </w:tc>
      </w:tr>
      <w:tr w:rsidR="0043450F" w14:paraId="38182403" w14:textId="77777777" w:rsidTr="0064521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30" w:type="dxa"/>
          </w:tcPr>
          <w:p w14:paraId="71DA598E" w14:textId="194E4173" w:rsidR="0043450F" w:rsidRDefault="0043450F" w:rsidP="0043450F">
            <w:pPr>
              <w:jc w:val="left"/>
              <w:rPr>
                <w:b/>
                <w:sz w:val="24"/>
                <w:szCs w:val="24"/>
              </w:rPr>
            </w:pPr>
            <w:r>
              <w:rPr>
                <w:b/>
                <w:sz w:val="24"/>
                <w:szCs w:val="24"/>
              </w:rPr>
              <w:t>ENGR 1100</w:t>
            </w:r>
          </w:p>
        </w:tc>
        <w:tc>
          <w:tcPr>
            <w:tcW w:w="1915" w:type="dxa"/>
            <w:shd w:val="clear" w:color="auto" w:fill="auto"/>
          </w:tcPr>
          <w:p w14:paraId="60AA9405" w14:textId="2E78047E" w:rsidR="0043450F" w:rsidRPr="00DB52F1" w:rsidRDefault="00DB52F1" w:rsidP="00DB52F1">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DB52F1">
              <w:rPr>
                <w:bCs/>
                <w:sz w:val="24"/>
                <w:szCs w:val="24"/>
              </w:rPr>
              <w:t>49</w:t>
            </w:r>
          </w:p>
        </w:tc>
        <w:tc>
          <w:tcPr>
            <w:tcW w:w="1723" w:type="dxa"/>
            <w:shd w:val="clear" w:color="auto" w:fill="auto"/>
          </w:tcPr>
          <w:p w14:paraId="0AFD7257" w14:textId="232067D7" w:rsidR="0043450F" w:rsidRPr="00DB52F1" w:rsidRDefault="0043450F" w:rsidP="00DB52F1">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DB52F1">
              <w:rPr>
                <w:bCs/>
                <w:sz w:val="24"/>
                <w:szCs w:val="24"/>
              </w:rPr>
              <w:t>NA</w:t>
            </w:r>
          </w:p>
        </w:tc>
      </w:tr>
      <w:tr w:rsidR="0043450F" w14:paraId="79232BB6" w14:textId="77777777" w:rsidTr="00636463">
        <w:trPr>
          <w:trHeight w:val="275"/>
        </w:trPr>
        <w:tc>
          <w:tcPr>
            <w:cnfStyle w:val="001000000000" w:firstRow="0" w:lastRow="0" w:firstColumn="1" w:lastColumn="0" w:oddVBand="0" w:evenVBand="0" w:oddHBand="0" w:evenHBand="0" w:firstRowFirstColumn="0" w:firstRowLastColumn="0" w:lastRowFirstColumn="0" w:lastRowLastColumn="0"/>
            <w:tcW w:w="1530" w:type="dxa"/>
          </w:tcPr>
          <w:p w14:paraId="112A479B" w14:textId="207DD463" w:rsidR="0043450F" w:rsidRDefault="0043450F" w:rsidP="0043450F">
            <w:pPr>
              <w:jc w:val="left"/>
              <w:rPr>
                <w:b/>
                <w:sz w:val="24"/>
                <w:szCs w:val="24"/>
              </w:rPr>
            </w:pPr>
            <w:r>
              <w:rPr>
                <w:b/>
                <w:sz w:val="24"/>
                <w:szCs w:val="24"/>
              </w:rPr>
              <w:t>IET 4451</w:t>
            </w:r>
          </w:p>
        </w:tc>
        <w:tc>
          <w:tcPr>
            <w:tcW w:w="1915" w:type="dxa"/>
            <w:shd w:val="clear" w:color="auto" w:fill="auto"/>
          </w:tcPr>
          <w:p w14:paraId="1E09C7D9" w14:textId="5A9A7112" w:rsidR="0043450F" w:rsidRPr="00636463" w:rsidRDefault="00907E8F" w:rsidP="00DB52F1">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636463">
              <w:rPr>
                <w:bCs/>
                <w:sz w:val="24"/>
                <w:szCs w:val="24"/>
              </w:rPr>
              <w:t>38</w:t>
            </w:r>
          </w:p>
        </w:tc>
        <w:tc>
          <w:tcPr>
            <w:tcW w:w="1723" w:type="dxa"/>
            <w:shd w:val="clear" w:color="auto" w:fill="auto"/>
          </w:tcPr>
          <w:p w14:paraId="78448EB2" w14:textId="3DC6328D" w:rsidR="0043450F" w:rsidRPr="00636463" w:rsidRDefault="00DE380A" w:rsidP="00DB52F1">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636463">
              <w:rPr>
                <w:bCs/>
                <w:sz w:val="24"/>
                <w:szCs w:val="24"/>
              </w:rPr>
              <w:t>35</w:t>
            </w:r>
          </w:p>
        </w:tc>
      </w:tr>
    </w:tbl>
    <w:p w14:paraId="7C819642" w14:textId="7B404435" w:rsidR="0033401E" w:rsidRPr="00DB52F1" w:rsidRDefault="00DB52F1" w:rsidP="00DB52F1">
      <w:pPr>
        <w:spacing w:before="120"/>
        <w:ind w:left="360"/>
        <w:rPr>
          <w:bCs/>
          <w:sz w:val="24"/>
          <w:szCs w:val="24"/>
        </w:rPr>
      </w:pPr>
      <w:r w:rsidRPr="00DB52F1">
        <w:rPr>
          <w:bCs/>
          <w:sz w:val="24"/>
          <w:szCs w:val="24"/>
        </w:rPr>
        <w:t>Note:</w:t>
      </w:r>
      <w:r>
        <w:rPr>
          <w:bCs/>
          <w:sz w:val="24"/>
          <w:szCs w:val="24"/>
        </w:rPr>
        <w:t xml:space="preserve"> The no-cost learning for ENGR1100 was taught in Fall 2020 as it is not currently offered in Spring 2021. </w:t>
      </w:r>
      <w:r w:rsidR="00DE380A" w:rsidRPr="00636463">
        <w:rPr>
          <w:bCs/>
          <w:sz w:val="24"/>
          <w:szCs w:val="24"/>
        </w:rPr>
        <w:t>The no-cost learning for IET 4451 was taught in both Fall 2020 and Spring 2021.</w:t>
      </w:r>
    </w:p>
    <w:p w14:paraId="6674B072" w14:textId="080649D1" w:rsidR="00DF79E1" w:rsidRPr="004F2656" w:rsidRDefault="00DF79E1" w:rsidP="003F4D85">
      <w:pPr>
        <w:pStyle w:val="Heading1"/>
        <w:numPr>
          <w:ilvl w:val="0"/>
          <w:numId w:val="18"/>
        </w:numPr>
        <w:ind w:left="360"/>
      </w:pPr>
      <w:r w:rsidRPr="004F2656">
        <w:t>Narrative</w:t>
      </w:r>
    </w:p>
    <w:p w14:paraId="65E3CD32" w14:textId="1B2FBA30" w:rsidR="00DF79E1" w:rsidRPr="003F4D85" w:rsidRDefault="00DF79E1" w:rsidP="003F4D85">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Include:</w:t>
      </w:r>
    </w:p>
    <w:p w14:paraId="38E42C53" w14:textId="10A4609E" w:rsidR="00DF79E1" w:rsidRPr="003F4D85" w:rsidRDefault="00DF79E1" w:rsidP="00DF79E1">
      <w:pPr>
        <w:pStyle w:val="ListParagraph"/>
        <w:numPr>
          <w:ilvl w:val="0"/>
          <w:numId w:val="8"/>
        </w:numPr>
        <w:rPr>
          <w:i/>
          <w:iCs/>
          <w:sz w:val="24"/>
          <w:szCs w:val="24"/>
        </w:rPr>
      </w:pPr>
      <w:r w:rsidRPr="003F4D85">
        <w:rPr>
          <w:i/>
          <w:iCs/>
          <w:sz w:val="24"/>
          <w:szCs w:val="24"/>
        </w:rPr>
        <w:t>Summary of your transformation experience, including challenges</w:t>
      </w:r>
      <w:r w:rsidR="00101A24" w:rsidRPr="003F4D85">
        <w:rPr>
          <w:i/>
          <w:iCs/>
          <w:sz w:val="24"/>
          <w:szCs w:val="24"/>
        </w:rPr>
        <w:t xml:space="preserve"> and accomplishments</w:t>
      </w:r>
    </w:p>
    <w:p w14:paraId="6F43F3B1" w14:textId="04E82367" w:rsidR="00DF79E1" w:rsidRPr="003F4D85" w:rsidRDefault="00DF79E1" w:rsidP="00DF79E1">
      <w:pPr>
        <w:pStyle w:val="ListParagraph"/>
        <w:numPr>
          <w:ilvl w:val="0"/>
          <w:numId w:val="8"/>
        </w:numPr>
        <w:rPr>
          <w:i/>
          <w:iCs/>
          <w:sz w:val="24"/>
          <w:szCs w:val="24"/>
        </w:rPr>
      </w:pPr>
      <w:r w:rsidRPr="003F4D85">
        <w:rPr>
          <w:i/>
          <w:iCs/>
          <w:sz w:val="24"/>
          <w:szCs w:val="24"/>
        </w:rPr>
        <w:t>Transformative impacts on your instruction</w:t>
      </w:r>
    </w:p>
    <w:p w14:paraId="37A6611B" w14:textId="453164E7" w:rsidR="00DF79E1" w:rsidRDefault="00DF79E1" w:rsidP="00DF79E1">
      <w:pPr>
        <w:pStyle w:val="ListParagraph"/>
        <w:numPr>
          <w:ilvl w:val="0"/>
          <w:numId w:val="8"/>
        </w:numPr>
        <w:rPr>
          <w:i/>
          <w:iCs/>
          <w:sz w:val="24"/>
          <w:szCs w:val="24"/>
        </w:rPr>
      </w:pPr>
      <w:r w:rsidRPr="003F4D85">
        <w:rPr>
          <w:i/>
          <w:iCs/>
          <w:sz w:val="24"/>
          <w:szCs w:val="24"/>
        </w:rPr>
        <w:t>Transformative impacts on your students and their performance</w:t>
      </w:r>
    </w:p>
    <w:p w14:paraId="3B2278F3" w14:textId="5B00B9B0" w:rsidR="001B5F9A" w:rsidRPr="002B4631" w:rsidRDefault="001B5F9A" w:rsidP="005F5755">
      <w:pPr>
        <w:ind w:left="720"/>
      </w:pPr>
      <w:r w:rsidRPr="003E2FF0">
        <w:t xml:space="preserve">We have developed and implemented no-cost-to-student learning material for the </w:t>
      </w:r>
      <w:r w:rsidR="003E2FF0" w:rsidRPr="003E2FF0">
        <w:t>two</w:t>
      </w:r>
      <w:r w:rsidRPr="003E2FF0">
        <w:t xml:space="preserve"> proposed courses</w:t>
      </w:r>
      <w:r w:rsidR="003E2FF0" w:rsidRPr="003E2FF0">
        <w:t xml:space="preserve"> (ENGR 1100 and IET 4451)</w:t>
      </w:r>
      <w:r w:rsidRPr="003E2FF0">
        <w:t xml:space="preserve">. </w:t>
      </w:r>
      <w:r w:rsidR="003E2FF0" w:rsidRPr="003E2FF0">
        <w:t xml:space="preserve"> </w:t>
      </w:r>
      <w:r w:rsidRPr="003E2FF0">
        <w:t xml:space="preserve"> </w:t>
      </w:r>
      <w:r w:rsidR="003E2FF0" w:rsidRPr="003E2FF0">
        <w:t>T</w:t>
      </w:r>
      <w:r w:rsidRPr="003E2FF0">
        <w:t xml:space="preserve">he learning material </w:t>
      </w:r>
      <w:r w:rsidR="003E2FF0" w:rsidRPr="003E2FF0">
        <w:t>will be hosted on OpenALG (</w:t>
      </w:r>
      <w:hyperlink r:id="rId14" w:history="1">
        <w:r w:rsidR="003E2FF0" w:rsidRPr="005E55FA">
          <w:rPr>
            <w:rStyle w:val="Hyperlink"/>
          </w:rPr>
          <w:t>https://alg.manifoldapp.org/</w:t>
        </w:r>
      </w:hyperlink>
      <w:r w:rsidR="003E2FF0">
        <w:t xml:space="preserve"> </w:t>
      </w:r>
      <w:r w:rsidR="003E2FF0" w:rsidRPr="003E2FF0">
        <w:t>)</w:t>
      </w:r>
      <w:r w:rsidRPr="003E2FF0">
        <w:t xml:space="preserve">. </w:t>
      </w:r>
      <w:r w:rsidR="003E2FF0" w:rsidRPr="003E2FF0">
        <w:t>Total of</w:t>
      </w:r>
      <w:r w:rsidR="00636463">
        <w:t xml:space="preserve"> 122</w:t>
      </w:r>
      <w:r w:rsidRPr="003E2FF0">
        <w:t xml:space="preserve"> students</w:t>
      </w:r>
      <w:r w:rsidR="003E2FF0">
        <w:t xml:space="preserve"> </w:t>
      </w:r>
      <w:r w:rsidRPr="003E2FF0">
        <w:t xml:space="preserve">have been impacted by our efforts. </w:t>
      </w:r>
      <w:r w:rsidR="005F5755">
        <w:t xml:space="preserve">Class surveys are conducted </w:t>
      </w:r>
      <w:r w:rsidR="006971A1">
        <w:t xml:space="preserve">in Dec, 2020 </w:t>
      </w:r>
      <w:r w:rsidR="005F5755">
        <w:t xml:space="preserve">in each course using a </w:t>
      </w:r>
      <w:r w:rsidR="00636463">
        <w:t xml:space="preserve">5-point </w:t>
      </w:r>
      <w:r w:rsidR="005F5755">
        <w:t>Likert scale (1=Strongly disagree, 5=</w:t>
      </w:r>
      <w:r w:rsidR="00636463">
        <w:t>strongly</w:t>
      </w:r>
      <w:r w:rsidR="005F5755">
        <w:t xml:space="preserve"> agree) on students’ opinion </w:t>
      </w:r>
      <w:r w:rsidR="003E2FF0">
        <w:t>on the no-cost learning material</w:t>
      </w:r>
      <w:r w:rsidR="005F5755">
        <w:t xml:space="preserve">. </w:t>
      </w:r>
      <w:r w:rsidR="003E2FF0">
        <w:t xml:space="preserve"> </w:t>
      </w:r>
      <w:r w:rsidR="005F5755">
        <w:t xml:space="preserve">The results </w:t>
      </w:r>
      <w:r w:rsidR="003E2FF0">
        <w:t xml:space="preserve">summarized </w:t>
      </w:r>
      <w:r w:rsidR="005F5755">
        <w:t xml:space="preserve">in the table 1 </w:t>
      </w:r>
      <w:r w:rsidR="003E2FF0">
        <w:t>below</w:t>
      </w:r>
      <w:r w:rsidR="005F5755">
        <w:t xml:space="preserve"> indicate students’ feedback are </w:t>
      </w:r>
      <w:r w:rsidRPr="003E2FF0">
        <w:t xml:space="preserve">overwhelmingly positive. </w:t>
      </w:r>
      <w:r w:rsidR="005F5755">
        <w:t>Based on o</w:t>
      </w:r>
      <w:r w:rsidRPr="003E2FF0">
        <w:t>ur assessment data, the no-cost learning materials we developed are as effective as the textbooks used previously in the corresponding courses</w:t>
      </w:r>
    </w:p>
    <w:p w14:paraId="12F8BA44" w14:textId="26FD938C" w:rsidR="001B5F9A" w:rsidRPr="001B5F9A" w:rsidRDefault="005F5755" w:rsidP="001B5F9A">
      <w:pPr>
        <w:ind w:left="720"/>
        <w:rPr>
          <w:sz w:val="24"/>
          <w:szCs w:val="24"/>
        </w:rPr>
      </w:pPr>
      <w:r>
        <w:rPr>
          <w:sz w:val="24"/>
          <w:szCs w:val="24"/>
        </w:rPr>
        <w:t>Table 1: Students’ feedback on no-cost learning material</w:t>
      </w:r>
    </w:p>
    <w:tbl>
      <w:tblPr>
        <w:tblStyle w:val="GridTable3-Accent1"/>
        <w:tblW w:w="0" w:type="auto"/>
        <w:tblInd w:w="617" w:type="dxa"/>
        <w:tblLook w:val="04A0" w:firstRow="1" w:lastRow="0" w:firstColumn="1" w:lastColumn="0" w:noHBand="0" w:noVBand="1"/>
      </w:tblPr>
      <w:tblGrid>
        <w:gridCol w:w="5233"/>
        <w:gridCol w:w="1350"/>
        <w:gridCol w:w="1080"/>
        <w:gridCol w:w="1075"/>
      </w:tblGrid>
      <w:tr w:rsidR="003B72E9" w14:paraId="00265797" w14:textId="38250374" w:rsidTr="003B72E9">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5233" w:type="dxa"/>
            <w:tcBorders>
              <w:bottom w:val="single" w:sz="4" w:space="0" w:color="5B9BD5" w:themeColor="accent1"/>
            </w:tcBorders>
          </w:tcPr>
          <w:p w14:paraId="34BCCACB" w14:textId="43ADBCB4" w:rsidR="003B72E9" w:rsidRPr="009D3BDE" w:rsidRDefault="003B72E9" w:rsidP="005F4428">
            <w:pPr>
              <w:jc w:val="left"/>
              <w:rPr>
                <w:bCs w:val="0"/>
                <w:sz w:val="24"/>
                <w:szCs w:val="24"/>
              </w:rPr>
            </w:pPr>
            <w:r w:rsidRPr="009D3BDE">
              <w:rPr>
                <w:bCs w:val="0"/>
                <w:sz w:val="24"/>
                <w:szCs w:val="24"/>
              </w:rPr>
              <w:t>Statement</w:t>
            </w:r>
          </w:p>
        </w:tc>
        <w:tc>
          <w:tcPr>
            <w:tcW w:w="1350" w:type="dxa"/>
            <w:tcBorders>
              <w:bottom w:val="single" w:sz="4" w:space="0" w:color="5B9BD5" w:themeColor="accent1"/>
            </w:tcBorders>
          </w:tcPr>
          <w:p w14:paraId="49BC8D96" w14:textId="19130EB4" w:rsidR="003B72E9" w:rsidRPr="009D3BDE" w:rsidRDefault="003B72E9" w:rsidP="005F4428">
            <w:pPr>
              <w:jc w:val="center"/>
              <w:cnfStyle w:val="100000000000" w:firstRow="1" w:lastRow="0" w:firstColumn="0" w:lastColumn="0" w:oddVBand="0" w:evenVBand="0" w:oddHBand="0" w:evenHBand="0" w:firstRowFirstColumn="0" w:firstRowLastColumn="0" w:lastRowFirstColumn="0" w:lastRowLastColumn="0"/>
              <w:rPr>
                <w:bCs w:val="0"/>
                <w:sz w:val="24"/>
                <w:szCs w:val="24"/>
              </w:rPr>
            </w:pPr>
            <w:r w:rsidRPr="009D3BDE">
              <w:rPr>
                <w:bCs w:val="0"/>
                <w:sz w:val="24"/>
                <w:szCs w:val="24"/>
              </w:rPr>
              <w:t>ENGR 1100</w:t>
            </w:r>
          </w:p>
        </w:tc>
        <w:tc>
          <w:tcPr>
            <w:tcW w:w="1080" w:type="dxa"/>
            <w:tcBorders>
              <w:bottom w:val="single" w:sz="4" w:space="0" w:color="5B9BD5" w:themeColor="accent1"/>
            </w:tcBorders>
          </w:tcPr>
          <w:p w14:paraId="6190840A" w14:textId="7D97232C" w:rsidR="003B72E9" w:rsidRPr="009D3BDE" w:rsidRDefault="003B72E9" w:rsidP="005F4428">
            <w:pPr>
              <w:jc w:val="center"/>
              <w:cnfStyle w:val="100000000000" w:firstRow="1" w:lastRow="0" w:firstColumn="0" w:lastColumn="0" w:oddVBand="0" w:evenVBand="0" w:oddHBand="0" w:evenHBand="0" w:firstRowFirstColumn="0" w:firstRowLastColumn="0" w:lastRowFirstColumn="0" w:lastRowLastColumn="0"/>
              <w:rPr>
                <w:bCs w:val="0"/>
                <w:sz w:val="24"/>
                <w:szCs w:val="24"/>
              </w:rPr>
            </w:pPr>
            <w:r w:rsidRPr="009D3BDE">
              <w:rPr>
                <w:bCs w:val="0"/>
                <w:sz w:val="24"/>
                <w:szCs w:val="24"/>
              </w:rPr>
              <w:t xml:space="preserve">IET 4451  </w:t>
            </w:r>
          </w:p>
        </w:tc>
        <w:tc>
          <w:tcPr>
            <w:tcW w:w="1075" w:type="dxa"/>
            <w:tcBorders>
              <w:bottom w:val="single" w:sz="4" w:space="0" w:color="5B9BD5" w:themeColor="accent1"/>
            </w:tcBorders>
          </w:tcPr>
          <w:p w14:paraId="7F025214" w14:textId="63984B15" w:rsidR="003B72E9" w:rsidRPr="009D3BDE" w:rsidRDefault="003B72E9" w:rsidP="005F4428">
            <w:pPr>
              <w:jc w:val="center"/>
              <w:cnfStyle w:val="100000000000" w:firstRow="1" w:lastRow="0" w:firstColumn="0" w:lastColumn="0" w:oddVBand="0" w:evenVBand="0" w:oddHBand="0" w:evenHBand="0" w:firstRowFirstColumn="0" w:firstRowLastColumn="0" w:lastRowFirstColumn="0" w:lastRowLastColumn="0"/>
              <w:rPr>
                <w:bCs w:val="0"/>
                <w:sz w:val="24"/>
                <w:szCs w:val="24"/>
              </w:rPr>
            </w:pPr>
            <w:r w:rsidRPr="009D3BDE">
              <w:rPr>
                <w:bCs w:val="0"/>
                <w:sz w:val="24"/>
                <w:szCs w:val="24"/>
              </w:rPr>
              <w:t>Average</w:t>
            </w:r>
          </w:p>
        </w:tc>
      </w:tr>
      <w:tr w:rsidR="003B72E9" w14:paraId="6D5EB777" w14:textId="1713C5E0" w:rsidTr="003B72E9">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5233" w:type="dxa"/>
            <w:tcBorders>
              <w:top w:val="single" w:sz="4" w:space="0" w:color="5B9BD5" w:themeColor="accent1"/>
              <w:left w:val="single" w:sz="4" w:space="0" w:color="5B9BD5" w:themeColor="accent1"/>
              <w:bottom w:val="single" w:sz="4" w:space="0" w:color="5B9BD5" w:themeColor="accent1"/>
            </w:tcBorders>
          </w:tcPr>
          <w:p w14:paraId="59FAFB2B" w14:textId="688A7769" w:rsidR="003B72E9" w:rsidRPr="003B72E9" w:rsidRDefault="003B72E9" w:rsidP="005F4428">
            <w:pPr>
              <w:jc w:val="left"/>
              <w:rPr>
                <w:bCs/>
              </w:rPr>
            </w:pPr>
            <w:r w:rsidRPr="003B72E9">
              <w:rPr>
                <w:bCs/>
              </w:rPr>
              <w:t xml:space="preserve"> I was satisfied with the quality of the no-cost materials provided in this course.</w:t>
            </w:r>
          </w:p>
        </w:tc>
        <w:tc>
          <w:tcPr>
            <w:tcW w:w="1350" w:type="dxa"/>
            <w:tcBorders>
              <w:top w:val="single" w:sz="4" w:space="0" w:color="5B9BD5" w:themeColor="accent1"/>
            </w:tcBorders>
            <w:shd w:val="clear" w:color="auto" w:fill="auto"/>
          </w:tcPr>
          <w:p w14:paraId="0C828D1F" w14:textId="4CAEACBF"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4.91</w:t>
            </w:r>
          </w:p>
        </w:tc>
        <w:tc>
          <w:tcPr>
            <w:tcW w:w="1080" w:type="dxa"/>
            <w:tcBorders>
              <w:top w:val="single" w:sz="4" w:space="0" w:color="5B9BD5" w:themeColor="accent1"/>
            </w:tcBorders>
            <w:shd w:val="clear" w:color="auto" w:fill="auto"/>
          </w:tcPr>
          <w:p w14:paraId="076CA0BA" w14:textId="42A7AFA8"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rPr>
            </w:pPr>
            <w:r>
              <w:rPr>
                <w:bCs/>
              </w:rPr>
              <w:t>4.77</w:t>
            </w:r>
          </w:p>
        </w:tc>
        <w:tc>
          <w:tcPr>
            <w:tcW w:w="1075" w:type="dxa"/>
            <w:tcBorders>
              <w:top w:val="single" w:sz="4" w:space="0" w:color="5B9BD5" w:themeColor="accent1"/>
              <w:right w:val="single" w:sz="4" w:space="0" w:color="5B9BD5" w:themeColor="accent1"/>
            </w:tcBorders>
            <w:shd w:val="clear" w:color="auto" w:fill="auto"/>
          </w:tcPr>
          <w:p w14:paraId="6C9AD88C" w14:textId="52F6F2D5"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rPr>
            </w:pPr>
            <w:r w:rsidRPr="008572A9">
              <w:rPr>
                <w:bCs/>
              </w:rPr>
              <w:t>4.83</w:t>
            </w:r>
          </w:p>
        </w:tc>
      </w:tr>
      <w:tr w:rsidR="003B72E9" w14:paraId="01865C29" w14:textId="0B725937" w:rsidTr="003B72E9">
        <w:trPr>
          <w:trHeight w:val="275"/>
        </w:trPr>
        <w:tc>
          <w:tcPr>
            <w:cnfStyle w:val="001000000000" w:firstRow="0" w:lastRow="0" w:firstColumn="1" w:lastColumn="0" w:oddVBand="0" w:evenVBand="0" w:oddHBand="0" w:evenHBand="0" w:firstRowFirstColumn="0" w:firstRowLastColumn="0" w:lastRowFirstColumn="0" w:lastRowLastColumn="0"/>
            <w:tcW w:w="523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65B13D66" w14:textId="248C2CA8" w:rsidR="003B72E9" w:rsidRPr="003B72E9" w:rsidRDefault="003B72E9" w:rsidP="005F4428">
            <w:pPr>
              <w:jc w:val="left"/>
              <w:rPr>
                <w:bCs/>
              </w:rPr>
            </w:pPr>
            <w:r w:rsidRPr="003B72E9">
              <w:rPr>
                <w:bCs/>
              </w:rPr>
              <w:t xml:space="preserve"> The no-cost materials in this course helped ease my financial burden as I pursue my college degree.</w:t>
            </w:r>
          </w:p>
        </w:tc>
        <w:tc>
          <w:tcPr>
            <w:tcW w:w="1350" w:type="dxa"/>
            <w:tcBorders>
              <w:left w:val="single" w:sz="4" w:space="0" w:color="5B9BD5" w:themeColor="accent1"/>
              <w:bottom w:val="single" w:sz="4" w:space="0" w:color="5B9BD5" w:themeColor="accent1"/>
            </w:tcBorders>
            <w:shd w:val="clear" w:color="auto" w:fill="auto"/>
          </w:tcPr>
          <w:p w14:paraId="5B8D64EB" w14:textId="3F696520"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4.91</w:t>
            </w:r>
          </w:p>
        </w:tc>
        <w:tc>
          <w:tcPr>
            <w:tcW w:w="1080" w:type="dxa"/>
            <w:tcBorders>
              <w:bottom w:val="single" w:sz="4" w:space="0" w:color="5B9BD5" w:themeColor="accent1"/>
            </w:tcBorders>
            <w:shd w:val="clear" w:color="auto" w:fill="auto"/>
          </w:tcPr>
          <w:p w14:paraId="5A6576AB" w14:textId="530A8AD6"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4.77</w:t>
            </w:r>
          </w:p>
        </w:tc>
        <w:tc>
          <w:tcPr>
            <w:tcW w:w="1075" w:type="dxa"/>
            <w:tcBorders>
              <w:bottom w:val="single" w:sz="4" w:space="0" w:color="5B9BD5" w:themeColor="accent1"/>
              <w:right w:val="single" w:sz="4" w:space="0" w:color="5B9BD5" w:themeColor="accent1"/>
            </w:tcBorders>
            <w:shd w:val="clear" w:color="auto" w:fill="auto"/>
          </w:tcPr>
          <w:p w14:paraId="3CD54B41" w14:textId="0475C1DE"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8572A9">
              <w:rPr>
                <w:bCs/>
                <w:sz w:val="24"/>
                <w:szCs w:val="24"/>
              </w:rPr>
              <w:t>4.84</w:t>
            </w:r>
          </w:p>
        </w:tc>
      </w:tr>
      <w:tr w:rsidR="003B72E9" w14:paraId="7BC56973" w14:textId="77777777" w:rsidTr="003B72E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23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406BA35D" w14:textId="4DC6391A" w:rsidR="003B72E9" w:rsidRPr="003B72E9" w:rsidRDefault="003B72E9" w:rsidP="003B72E9">
            <w:pPr>
              <w:jc w:val="left"/>
              <w:rPr>
                <w:bCs/>
              </w:rPr>
            </w:pPr>
            <w:r w:rsidRPr="003B72E9">
              <w:rPr>
                <w:bCs/>
              </w:rPr>
              <w:t>I would recommend to other students that taking a course with low cost, no cost materials provide the same or better quality of education versus taking a course with traditional textbook materials.</w:t>
            </w:r>
          </w:p>
        </w:tc>
        <w:tc>
          <w:tcPr>
            <w:tcW w:w="1350" w:type="dxa"/>
            <w:tcBorders>
              <w:top w:val="single" w:sz="4" w:space="0" w:color="5B9BD5" w:themeColor="accent1"/>
              <w:left w:val="single" w:sz="4" w:space="0" w:color="5B9BD5" w:themeColor="accent1"/>
            </w:tcBorders>
            <w:shd w:val="clear" w:color="auto" w:fill="auto"/>
          </w:tcPr>
          <w:p w14:paraId="7C671081" w14:textId="1977BCAB"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5.00</w:t>
            </w:r>
          </w:p>
        </w:tc>
        <w:tc>
          <w:tcPr>
            <w:tcW w:w="1080" w:type="dxa"/>
            <w:tcBorders>
              <w:top w:val="single" w:sz="4" w:space="0" w:color="5B9BD5" w:themeColor="accent1"/>
            </w:tcBorders>
            <w:shd w:val="clear" w:color="auto" w:fill="auto"/>
          </w:tcPr>
          <w:p w14:paraId="18F13062" w14:textId="35913478"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4.69</w:t>
            </w:r>
          </w:p>
        </w:tc>
        <w:tc>
          <w:tcPr>
            <w:tcW w:w="1075" w:type="dxa"/>
            <w:tcBorders>
              <w:top w:val="single" w:sz="4" w:space="0" w:color="5B9BD5" w:themeColor="accent1"/>
            </w:tcBorders>
            <w:shd w:val="clear" w:color="auto" w:fill="auto"/>
          </w:tcPr>
          <w:p w14:paraId="77D9DB77" w14:textId="5E8DFA28"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8572A9">
              <w:rPr>
                <w:bCs/>
                <w:sz w:val="24"/>
                <w:szCs w:val="24"/>
              </w:rPr>
              <w:t>4.83</w:t>
            </w:r>
          </w:p>
        </w:tc>
      </w:tr>
      <w:tr w:rsidR="003B72E9" w14:paraId="5E9EF570" w14:textId="77777777" w:rsidTr="003B72E9">
        <w:trPr>
          <w:trHeight w:val="275"/>
        </w:trPr>
        <w:tc>
          <w:tcPr>
            <w:cnfStyle w:val="001000000000" w:firstRow="0" w:lastRow="0" w:firstColumn="1" w:lastColumn="0" w:oddVBand="0" w:evenVBand="0" w:oddHBand="0" w:evenHBand="0" w:firstRowFirstColumn="0" w:firstRowLastColumn="0" w:lastRowFirstColumn="0" w:lastRowLastColumn="0"/>
            <w:tcW w:w="523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5F6B5F7B" w14:textId="6A31F38C" w:rsidR="003B72E9" w:rsidRPr="003B72E9" w:rsidRDefault="003B72E9" w:rsidP="003B72E9">
            <w:pPr>
              <w:jc w:val="left"/>
              <w:rPr>
                <w:bCs/>
              </w:rPr>
            </w:pPr>
            <w:r w:rsidRPr="003B72E9">
              <w:rPr>
                <w:bCs/>
              </w:rPr>
              <w:t>The content, links and other learning module materials were sufficient to help me learn.</w:t>
            </w:r>
          </w:p>
        </w:tc>
        <w:tc>
          <w:tcPr>
            <w:tcW w:w="1350" w:type="dxa"/>
            <w:tcBorders>
              <w:left w:val="single" w:sz="4" w:space="0" w:color="5B9BD5" w:themeColor="accent1"/>
            </w:tcBorders>
            <w:shd w:val="clear" w:color="auto" w:fill="auto"/>
          </w:tcPr>
          <w:p w14:paraId="353AD185" w14:textId="6EE65382"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4.82</w:t>
            </w:r>
          </w:p>
        </w:tc>
        <w:tc>
          <w:tcPr>
            <w:tcW w:w="1080" w:type="dxa"/>
            <w:shd w:val="clear" w:color="auto" w:fill="auto"/>
          </w:tcPr>
          <w:p w14:paraId="2C849B02" w14:textId="4AF823C8"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4.84</w:t>
            </w:r>
          </w:p>
        </w:tc>
        <w:tc>
          <w:tcPr>
            <w:tcW w:w="1075" w:type="dxa"/>
            <w:shd w:val="clear" w:color="auto" w:fill="auto"/>
          </w:tcPr>
          <w:p w14:paraId="763B5E56" w14:textId="045E1592" w:rsidR="003B72E9" w:rsidRPr="008572A9" w:rsidRDefault="008572A9" w:rsidP="008572A9">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8572A9">
              <w:rPr>
                <w:bCs/>
                <w:sz w:val="24"/>
                <w:szCs w:val="24"/>
              </w:rPr>
              <w:t>4.84</w:t>
            </w:r>
          </w:p>
        </w:tc>
      </w:tr>
      <w:tr w:rsidR="003B72E9" w14:paraId="1C5BA387" w14:textId="77777777" w:rsidTr="003B72E9">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5233" w:type="dxa"/>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p w14:paraId="133AAE9E" w14:textId="470B6F9A" w:rsidR="003B72E9" w:rsidRPr="003B72E9" w:rsidRDefault="009D3BDE" w:rsidP="009D3BDE">
            <w:pPr>
              <w:jc w:val="left"/>
              <w:rPr>
                <w:bCs/>
              </w:rPr>
            </w:pPr>
            <w:r w:rsidRPr="009D3BDE">
              <w:rPr>
                <w:bCs/>
              </w:rPr>
              <w:lastRenderedPageBreak/>
              <w:t>I feel that learned more in this course using the instructor’s low-cost, no-cost materials included in this course versus using traditional textbook materials.</w:t>
            </w:r>
          </w:p>
        </w:tc>
        <w:tc>
          <w:tcPr>
            <w:tcW w:w="1350" w:type="dxa"/>
            <w:tcBorders>
              <w:left w:val="single" w:sz="4" w:space="0" w:color="5B9BD5" w:themeColor="accent1"/>
            </w:tcBorders>
            <w:shd w:val="clear" w:color="auto" w:fill="auto"/>
          </w:tcPr>
          <w:p w14:paraId="4D49B093" w14:textId="3EEE76D4"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4.36</w:t>
            </w:r>
          </w:p>
        </w:tc>
        <w:tc>
          <w:tcPr>
            <w:tcW w:w="1080" w:type="dxa"/>
            <w:shd w:val="clear" w:color="auto" w:fill="auto"/>
          </w:tcPr>
          <w:p w14:paraId="1F07D4B1" w14:textId="55550521"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4.00</w:t>
            </w:r>
          </w:p>
        </w:tc>
        <w:tc>
          <w:tcPr>
            <w:tcW w:w="1075" w:type="dxa"/>
            <w:shd w:val="clear" w:color="auto" w:fill="auto"/>
          </w:tcPr>
          <w:p w14:paraId="0A774340" w14:textId="093BB762" w:rsidR="003B72E9" w:rsidRPr="008572A9" w:rsidRDefault="008572A9" w:rsidP="008572A9">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8572A9">
              <w:rPr>
                <w:bCs/>
                <w:sz w:val="24"/>
                <w:szCs w:val="24"/>
              </w:rPr>
              <w:t>4.17</w:t>
            </w:r>
          </w:p>
        </w:tc>
      </w:tr>
    </w:tbl>
    <w:p w14:paraId="601884DD" w14:textId="51BE0F28" w:rsidR="001B5F9A" w:rsidRPr="001B5F9A" w:rsidRDefault="006971A1" w:rsidP="00636463">
      <w:pPr>
        <w:spacing w:before="120"/>
        <w:ind w:left="720"/>
        <w:rPr>
          <w:sz w:val="24"/>
          <w:szCs w:val="24"/>
        </w:rPr>
      </w:pPr>
      <w:r>
        <w:rPr>
          <w:sz w:val="24"/>
          <w:szCs w:val="24"/>
        </w:rPr>
        <w:t>Both ENGR 1100 and IET 4451 course material involves hands-on programming skills (MATLAB for ENGR 1100, and ARENA for IET 4451). From instructors’ perspective, developing learning materials by oursel</w:t>
      </w:r>
      <w:r w:rsidR="00636463">
        <w:rPr>
          <w:sz w:val="24"/>
          <w:szCs w:val="24"/>
        </w:rPr>
        <w:t>ves</w:t>
      </w:r>
      <w:r>
        <w:rPr>
          <w:sz w:val="24"/>
          <w:szCs w:val="24"/>
        </w:rPr>
        <w:t xml:space="preserve"> enables us to better adapt to the evolving and dynamic nature of programming field.</w:t>
      </w:r>
      <w:r w:rsidR="00E165C0">
        <w:rPr>
          <w:sz w:val="24"/>
          <w:szCs w:val="24"/>
        </w:rPr>
        <w:t xml:space="preserve"> At the same time, successful transformation activities require significant efforts from the instructors.</w:t>
      </w:r>
      <w:r>
        <w:rPr>
          <w:sz w:val="24"/>
          <w:szCs w:val="24"/>
        </w:rPr>
        <w:t xml:space="preserve"> We are thankful for the strong support from ALG to make it happen</w:t>
      </w:r>
      <w:r w:rsidR="00E165C0">
        <w:rPr>
          <w:sz w:val="24"/>
          <w:szCs w:val="24"/>
        </w:rPr>
        <w:t xml:space="preserve">. The success of this project not only benefit students in both ISYE and IET program, but also increases the visibility of ALG in ISYE department. </w:t>
      </w:r>
    </w:p>
    <w:p w14:paraId="0D1B3650" w14:textId="78592C10"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5809CA10" w14:textId="46B19C02" w:rsidR="005267D3" w:rsidRDefault="005267D3" w:rsidP="005267D3">
      <w:pPr>
        <w:pStyle w:val="ListParagraph"/>
        <w:rPr>
          <w:sz w:val="24"/>
          <w:szCs w:val="24"/>
        </w:rPr>
      </w:pPr>
      <w:r>
        <w:rPr>
          <w:sz w:val="24"/>
          <w:szCs w:val="24"/>
        </w:rPr>
        <w:t>Below are some of the lessons from the two courses covered in this grant.</w:t>
      </w:r>
    </w:p>
    <w:tbl>
      <w:tblPr>
        <w:tblStyle w:val="GridTable3-Accent1"/>
        <w:tblW w:w="0" w:type="auto"/>
        <w:tblInd w:w="612" w:type="dxa"/>
        <w:tblLook w:val="04A0" w:firstRow="1" w:lastRow="0" w:firstColumn="1" w:lastColumn="0" w:noHBand="0" w:noVBand="1"/>
      </w:tblPr>
      <w:tblGrid>
        <w:gridCol w:w="1368"/>
        <w:gridCol w:w="3420"/>
        <w:gridCol w:w="3690"/>
      </w:tblGrid>
      <w:tr w:rsidR="00F125D6" w14:paraId="44BE0B9D" w14:textId="77777777" w:rsidTr="00F125D6">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368" w:type="dxa"/>
          </w:tcPr>
          <w:p w14:paraId="2654460A" w14:textId="429AA330" w:rsidR="00F125D6" w:rsidRDefault="00F125D6" w:rsidP="005F4428">
            <w:pPr>
              <w:jc w:val="left"/>
              <w:rPr>
                <w:b w:val="0"/>
                <w:sz w:val="24"/>
                <w:szCs w:val="24"/>
              </w:rPr>
            </w:pPr>
            <w:r>
              <w:rPr>
                <w:b w:val="0"/>
                <w:sz w:val="24"/>
                <w:szCs w:val="24"/>
              </w:rPr>
              <w:t>Course</w:t>
            </w:r>
          </w:p>
        </w:tc>
        <w:tc>
          <w:tcPr>
            <w:tcW w:w="3420" w:type="dxa"/>
          </w:tcPr>
          <w:p w14:paraId="0A0FA981" w14:textId="08A523EF" w:rsidR="00F125D6" w:rsidRDefault="00F125D6" w:rsidP="005F4428">
            <w:pPr>
              <w:jc w:val="center"/>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What worked well</w:t>
            </w:r>
          </w:p>
        </w:tc>
        <w:tc>
          <w:tcPr>
            <w:tcW w:w="3690" w:type="dxa"/>
          </w:tcPr>
          <w:p w14:paraId="15E6725D" w14:textId="770988B8" w:rsidR="00F125D6" w:rsidRDefault="00F125D6" w:rsidP="005F4428">
            <w:pPr>
              <w:jc w:val="center"/>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 xml:space="preserve">What would do differently  </w:t>
            </w:r>
          </w:p>
        </w:tc>
      </w:tr>
      <w:tr w:rsidR="00F125D6" w14:paraId="36E09548" w14:textId="77777777" w:rsidTr="0064521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368" w:type="dxa"/>
          </w:tcPr>
          <w:p w14:paraId="49D057DB" w14:textId="77777777" w:rsidR="00F125D6" w:rsidRDefault="00F125D6" w:rsidP="005F4428">
            <w:pPr>
              <w:jc w:val="left"/>
              <w:rPr>
                <w:b/>
                <w:sz w:val="24"/>
                <w:szCs w:val="24"/>
              </w:rPr>
            </w:pPr>
            <w:r>
              <w:rPr>
                <w:b/>
                <w:sz w:val="24"/>
                <w:szCs w:val="24"/>
              </w:rPr>
              <w:t>ENGR 1100</w:t>
            </w:r>
          </w:p>
        </w:tc>
        <w:tc>
          <w:tcPr>
            <w:tcW w:w="3420" w:type="dxa"/>
            <w:shd w:val="clear" w:color="auto" w:fill="auto"/>
          </w:tcPr>
          <w:p w14:paraId="58C753E2" w14:textId="0D08FF78" w:rsidR="00F125D6" w:rsidRPr="00DB52F1" w:rsidRDefault="00F125D6" w:rsidP="00F125D6">
            <w:pPr>
              <w:cnfStyle w:val="000000100000" w:firstRow="0" w:lastRow="0" w:firstColumn="0" w:lastColumn="0" w:oddVBand="0" w:evenVBand="0" w:oddHBand="1" w:evenHBand="0" w:firstRowFirstColumn="0" w:firstRowLastColumn="0" w:lastRowFirstColumn="0" w:lastRowLastColumn="0"/>
              <w:rPr>
                <w:bCs/>
                <w:sz w:val="24"/>
                <w:szCs w:val="24"/>
              </w:rPr>
            </w:pPr>
            <w:r>
              <w:rPr>
                <w:rFonts w:cstheme="minorHAnsi"/>
              </w:rPr>
              <w:t>The no</w:t>
            </w:r>
            <w:r w:rsidR="00A65389">
              <w:rPr>
                <w:rFonts w:cstheme="minorHAnsi"/>
              </w:rPr>
              <w:t>-</w:t>
            </w:r>
            <w:r>
              <w:rPr>
                <w:rFonts w:cstheme="minorHAnsi"/>
              </w:rPr>
              <w:t xml:space="preserve">cost learning material eliminates the textbook that would have been used in the course. </w:t>
            </w:r>
            <w:r w:rsidR="00A65389">
              <w:rPr>
                <w:rFonts w:cstheme="minorHAnsi"/>
              </w:rPr>
              <w:t xml:space="preserve"> </w:t>
            </w:r>
            <w:r w:rsidR="00A65389" w:rsidRPr="00C92206">
              <w:t>The resources from YouTube, online repository was well received by the students.</w:t>
            </w:r>
            <w:r w:rsidR="00A65389">
              <w:t xml:space="preserve"> </w:t>
            </w:r>
          </w:p>
        </w:tc>
        <w:tc>
          <w:tcPr>
            <w:tcW w:w="3690" w:type="dxa"/>
            <w:shd w:val="clear" w:color="auto" w:fill="auto"/>
          </w:tcPr>
          <w:p w14:paraId="71E9F172" w14:textId="5BBB22E0" w:rsidR="00F125D6" w:rsidRPr="00B73E76" w:rsidRDefault="00B73E76" w:rsidP="00B73E76">
            <w:pPr>
              <w:cnfStyle w:val="000000100000" w:firstRow="0" w:lastRow="0" w:firstColumn="0" w:lastColumn="0" w:oddVBand="0" w:evenVBand="0" w:oddHBand="1" w:evenHBand="0" w:firstRowFirstColumn="0" w:firstRowLastColumn="0" w:lastRowFirstColumn="0" w:lastRowLastColumn="0"/>
              <w:rPr>
                <w:bCs/>
              </w:rPr>
            </w:pPr>
            <w:r w:rsidRPr="00B73E76">
              <w:rPr>
                <w:bCs/>
              </w:rPr>
              <w:t>Provide more guidance</w:t>
            </w:r>
            <w:r w:rsidR="00F125D6" w:rsidRPr="00B73E76">
              <w:rPr>
                <w:bCs/>
              </w:rPr>
              <w:t xml:space="preserve"> </w:t>
            </w:r>
            <w:r w:rsidRPr="00B73E76">
              <w:rPr>
                <w:bCs/>
              </w:rPr>
              <w:t>to students</w:t>
            </w:r>
            <w:r>
              <w:rPr>
                <w:bCs/>
              </w:rPr>
              <w:t xml:space="preserve"> during their term projects.</w:t>
            </w:r>
          </w:p>
        </w:tc>
      </w:tr>
      <w:tr w:rsidR="00F125D6" w14:paraId="295D3437" w14:textId="77777777" w:rsidTr="00636463">
        <w:trPr>
          <w:trHeight w:val="275"/>
        </w:trPr>
        <w:tc>
          <w:tcPr>
            <w:cnfStyle w:val="001000000000" w:firstRow="0" w:lastRow="0" w:firstColumn="1" w:lastColumn="0" w:oddVBand="0" w:evenVBand="0" w:oddHBand="0" w:evenHBand="0" w:firstRowFirstColumn="0" w:firstRowLastColumn="0" w:lastRowFirstColumn="0" w:lastRowLastColumn="0"/>
            <w:tcW w:w="1368" w:type="dxa"/>
          </w:tcPr>
          <w:p w14:paraId="60CBB02A" w14:textId="77777777" w:rsidR="00F125D6" w:rsidRDefault="00F125D6" w:rsidP="005F4428">
            <w:pPr>
              <w:jc w:val="left"/>
              <w:rPr>
                <w:b/>
                <w:sz w:val="24"/>
                <w:szCs w:val="24"/>
              </w:rPr>
            </w:pPr>
            <w:r>
              <w:rPr>
                <w:b/>
                <w:sz w:val="24"/>
                <w:szCs w:val="24"/>
              </w:rPr>
              <w:t>IET 4451</w:t>
            </w:r>
          </w:p>
        </w:tc>
        <w:tc>
          <w:tcPr>
            <w:tcW w:w="3420" w:type="dxa"/>
            <w:shd w:val="clear" w:color="auto" w:fill="auto"/>
          </w:tcPr>
          <w:p w14:paraId="01322044" w14:textId="10514BF0" w:rsidR="00F125D6" w:rsidRPr="00DB52F1" w:rsidRDefault="00A65389" w:rsidP="00A65389">
            <w:pPr>
              <w:cnfStyle w:val="000000000000" w:firstRow="0" w:lastRow="0" w:firstColumn="0" w:lastColumn="0" w:oddVBand="0" w:evenVBand="0" w:oddHBand="0" w:evenHBand="0" w:firstRowFirstColumn="0" w:firstRowLastColumn="0" w:lastRowFirstColumn="0" w:lastRowLastColumn="0"/>
              <w:rPr>
                <w:bCs/>
                <w:sz w:val="24"/>
                <w:szCs w:val="24"/>
              </w:rPr>
            </w:pPr>
            <w:r>
              <w:rPr>
                <w:rFonts w:cstheme="minorHAnsi"/>
              </w:rPr>
              <w:t>The hands-on simulation example</w:t>
            </w:r>
            <w:r w:rsidR="00B73E76">
              <w:rPr>
                <w:rFonts w:cstheme="minorHAnsi"/>
              </w:rPr>
              <w:t>s helped students understand the simulation techniques.</w:t>
            </w:r>
            <w:r>
              <w:rPr>
                <w:rFonts w:cstheme="minorHAnsi"/>
              </w:rPr>
              <w:t xml:space="preserve"> Students have favorable evaluation of the no-cost learning material.</w:t>
            </w:r>
          </w:p>
        </w:tc>
        <w:tc>
          <w:tcPr>
            <w:tcW w:w="3690" w:type="dxa"/>
            <w:shd w:val="clear" w:color="auto" w:fill="auto"/>
          </w:tcPr>
          <w:p w14:paraId="7B0C7E7B" w14:textId="64CD50E7" w:rsidR="00F125D6" w:rsidRPr="00DB52F1" w:rsidRDefault="00907E8F" w:rsidP="00636463">
            <w:pPr>
              <w:cnfStyle w:val="000000000000" w:firstRow="0" w:lastRow="0" w:firstColumn="0" w:lastColumn="0" w:oddVBand="0" w:evenVBand="0" w:oddHBand="0" w:evenHBand="0" w:firstRowFirstColumn="0" w:firstRowLastColumn="0" w:lastRowFirstColumn="0" w:lastRowLastColumn="0"/>
              <w:rPr>
                <w:bCs/>
                <w:sz w:val="24"/>
                <w:szCs w:val="24"/>
                <w:highlight w:val="yellow"/>
              </w:rPr>
            </w:pPr>
            <w:r w:rsidRPr="00636463">
              <w:rPr>
                <w:bCs/>
                <w:sz w:val="24"/>
                <w:szCs w:val="24"/>
              </w:rPr>
              <w:t>Make some of the HW assignments individual, rather than group</w:t>
            </w:r>
            <w:r w:rsidR="00F1624D" w:rsidRPr="00636463">
              <w:rPr>
                <w:bCs/>
                <w:sz w:val="24"/>
                <w:szCs w:val="24"/>
              </w:rPr>
              <w:t>,</w:t>
            </w:r>
            <w:r w:rsidRPr="00636463">
              <w:rPr>
                <w:bCs/>
                <w:sz w:val="24"/>
                <w:szCs w:val="24"/>
              </w:rPr>
              <w:t xml:space="preserve"> assignments.</w:t>
            </w:r>
          </w:p>
        </w:tc>
      </w:tr>
    </w:tbl>
    <w:p w14:paraId="26BAC3E2" w14:textId="77777777" w:rsidR="00F125D6" w:rsidRPr="005267D3" w:rsidRDefault="00F125D6" w:rsidP="005267D3">
      <w:pPr>
        <w:pStyle w:val="ListParagraph"/>
        <w:rPr>
          <w:sz w:val="24"/>
          <w:szCs w:val="24"/>
        </w:rPr>
      </w:pPr>
    </w:p>
    <w:p w14:paraId="6E7CF058" w14:textId="4F3D3DDD" w:rsidR="00101A24" w:rsidRPr="004F2656" w:rsidRDefault="00101A24" w:rsidP="003F4D85">
      <w:pPr>
        <w:pStyle w:val="Heading1"/>
        <w:numPr>
          <w:ilvl w:val="0"/>
          <w:numId w:val="18"/>
        </w:numPr>
        <w:ind w:left="360"/>
      </w:pPr>
      <w:r w:rsidRPr="004F2656">
        <w:t>Quotes</w:t>
      </w:r>
    </w:p>
    <w:p w14:paraId="6B019FC3" w14:textId="0713875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133B13A8" w14:textId="75BA177A" w:rsidR="00E165C0" w:rsidRDefault="00E165C0" w:rsidP="003F4D85">
      <w:pPr>
        <w:ind w:left="360"/>
        <w:rPr>
          <w:b/>
          <w:bCs/>
          <w:sz w:val="24"/>
          <w:szCs w:val="24"/>
        </w:rPr>
      </w:pPr>
      <w:r>
        <w:rPr>
          <w:b/>
          <w:bCs/>
          <w:sz w:val="24"/>
          <w:szCs w:val="24"/>
        </w:rPr>
        <w:t>Quotes for ENGR 1100:</w:t>
      </w:r>
    </w:p>
    <w:p w14:paraId="7F23A877" w14:textId="4936AE65" w:rsidR="00E165C0" w:rsidRPr="00E165C0" w:rsidRDefault="00E165C0" w:rsidP="003F4D85">
      <w:pPr>
        <w:ind w:left="360"/>
        <w:rPr>
          <w:sz w:val="24"/>
          <w:szCs w:val="24"/>
        </w:rPr>
      </w:pPr>
      <w:r w:rsidRPr="00E165C0">
        <w:rPr>
          <w:sz w:val="24"/>
          <w:szCs w:val="24"/>
        </w:rPr>
        <w:t>“I think this no-cost learning material is quite efficient and help to reduce the costs needed to purchase a textbook that can be allocated elsewhere. This teaching method also allows the instructor to understand and identify areas where students are having difficulty.”</w:t>
      </w:r>
    </w:p>
    <w:p w14:paraId="2C3A7F0A" w14:textId="51CD21AC" w:rsidR="00E165C0" w:rsidRDefault="00E165C0" w:rsidP="00E165C0">
      <w:pPr>
        <w:ind w:left="360"/>
        <w:rPr>
          <w:b/>
          <w:bCs/>
          <w:sz w:val="24"/>
          <w:szCs w:val="24"/>
        </w:rPr>
      </w:pPr>
      <w:r>
        <w:rPr>
          <w:b/>
          <w:bCs/>
          <w:sz w:val="24"/>
          <w:szCs w:val="24"/>
        </w:rPr>
        <w:t>Quotes for IET 4451:</w:t>
      </w:r>
    </w:p>
    <w:p w14:paraId="45919A2D" w14:textId="635B3260" w:rsidR="00E165C0" w:rsidRDefault="00E165C0" w:rsidP="00E165C0">
      <w:pPr>
        <w:ind w:left="360"/>
        <w:rPr>
          <w:sz w:val="24"/>
          <w:szCs w:val="24"/>
        </w:rPr>
      </w:pPr>
      <w:r>
        <w:rPr>
          <w:sz w:val="24"/>
          <w:szCs w:val="24"/>
        </w:rPr>
        <w:t>“</w:t>
      </w:r>
      <w:r w:rsidRPr="00E165C0">
        <w:rPr>
          <w:sz w:val="24"/>
          <w:szCs w:val="24"/>
        </w:rPr>
        <w:t>For this course, my instructor's lectures and course notes were much easier to understand than Arena textbook (which I rented virtually due to cost).</w:t>
      </w:r>
      <w:r>
        <w:rPr>
          <w:sz w:val="24"/>
          <w:szCs w:val="24"/>
        </w:rPr>
        <w:t>”</w:t>
      </w:r>
    </w:p>
    <w:p w14:paraId="3CA88031" w14:textId="750F56FB" w:rsidR="00E165C0" w:rsidRPr="00E165C0" w:rsidRDefault="00E165C0" w:rsidP="00E165C0">
      <w:pPr>
        <w:ind w:left="360"/>
        <w:rPr>
          <w:sz w:val="24"/>
          <w:szCs w:val="24"/>
        </w:rPr>
      </w:pPr>
      <w:r>
        <w:rPr>
          <w:sz w:val="24"/>
          <w:szCs w:val="24"/>
        </w:rPr>
        <w:t>“</w:t>
      </w:r>
      <w:r w:rsidRPr="00E165C0">
        <w:rPr>
          <w:sz w:val="24"/>
          <w:szCs w:val="24"/>
        </w:rPr>
        <w:t>We appreciate this approach financially, but it also is a better way for us students to learn I believe as well</w:t>
      </w:r>
      <w:r>
        <w:rPr>
          <w:sz w:val="24"/>
          <w:szCs w:val="24"/>
        </w:rPr>
        <w:t>.”</w:t>
      </w:r>
    </w:p>
    <w:p w14:paraId="6324A9ED" w14:textId="77777777" w:rsidR="00E165C0" w:rsidRPr="00E165C0" w:rsidRDefault="00E165C0" w:rsidP="003F4D85">
      <w:pPr>
        <w:ind w:left="360"/>
        <w:rPr>
          <w:b/>
          <w:bCs/>
          <w:sz w:val="24"/>
          <w:szCs w:val="24"/>
        </w:rPr>
      </w:pP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6D3DC0B7" w:rsid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___</w:t>
      </w:r>
      <w:r w:rsidR="00636463">
        <w:rPr>
          <w:sz w:val="24"/>
          <w:szCs w:val="24"/>
        </w:rPr>
        <w:t>122</w:t>
      </w:r>
      <w:r w:rsidRPr="00684A25">
        <w:rPr>
          <w:sz w:val="24"/>
          <w:szCs w:val="24"/>
        </w:rPr>
        <w:t>___</w:t>
      </w:r>
    </w:p>
    <w:p w14:paraId="44F51E4F" w14:textId="36B725F6" w:rsidR="0091392E" w:rsidRPr="00684A25" w:rsidRDefault="0091392E" w:rsidP="00C45872">
      <w:pPr>
        <w:ind w:left="1080"/>
        <w:rPr>
          <w:sz w:val="24"/>
          <w:szCs w:val="24"/>
        </w:rPr>
      </w:pPr>
      <w:r>
        <w:rPr>
          <w:sz w:val="24"/>
          <w:szCs w:val="24"/>
        </w:rPr>
        <w:t xml:space="preserve">There are total of </w:t>
      </w:r>
      <w:r w:rsidRPr="0091392E">
        <w:rPr>
          <w:b/>
          <w:bCs/>
          <w:sz w:val="24"/>
          <w:szCs w:val="24"/>
        </w:rPr>
        <w:t>2</w:t>
      </w:r>
      <w:r>
        <w:rPr>
          <w:b/>
          <w:bCs/>
          <w:sz w:val="24"/>
          <w:szCs w:val="24"/>
        </w:rPr>
        <w:t>5</w:t>
      </w:r>
      <w:r>
        <w:rPr>
          <w:sz w:val="24"/>
          <w:szCs w:val="24"/>
        </w:rPr>
        <w:t xml:space="preserve"> students completed the survey. </w:t>
      </w:r>
    </w:p>
    <w:p w14:paraId="37FBFE79" w14:textId="4A86FEF5"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Pr="001D51FD">
        <w:rPr>
          <w:sz w:val="24"/>
          <w:szCs w:val="24"/>
        </w:rPr>
        <w:t>____</w:t>
      </w:r>
      <w:r w:rsidR="0091392E">
        <w:rPr>
          <w:sz w:val="24"/>
          <w:szCs w:val="24"/>
        </w:rPr>
        <w:t>80</w:t>
      </w:r>
      <w:r w:rsidRPr="001D51FD">
        <w:rPr>
          <w:sz w:val="24"/>
          <w:szCs w:val="24"/>
        </w:rPr>
        <w:t>___ % of ____</w:t>
      </w:r>
      <w:r w:rsidR="0091392E">
        <w:rPr>
          <w:sz w:val="24"/>
          <w:szCs w:val="24"/>
        </w:rPr>
        <w:t>20</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0EA604B6"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w:t>
      </w:r>
      <w:r w:rsidR="0091392E">
        <w:rPr>
          <w:sz w:val="24"/>
          <w:szCs w:val="24"/>
        </w:rPr>
        <w:t>12</w:t>
      </w:r>
      <w:r w:rsidR="001D51FD" w:rsidRPr="001D51FD">
        <w:rPr>
          <w:sz w:val="24"/>
          <w:szCs w:val="24"/>
        </w:rPr>
        <w:t>____ % of _____</w:t>
      </w:r>
      <w:r w:rsidR="0091392E">
        <w:rPr>
          <w:sz w:val="24"/>
          <w:szCs w:val="24"/>
        </w:rPr>
        <w:t>3</w:t>
      </w:r>
      <w:r w:rsidR="001D51FD" w:rsidRPr="001D51FD">
        <w:rPr>
          <w:sz w:val="24"/>
          <w:szCs w:val="24"/>
        </w:rPr>
        <w:t>___ number of respondents</w:t>
      </w:r>
    </w:p>
    <w:p w14:paraId="13FAC902" w14:textId="23601C35" w:rsidR="0091392E" w:rsidRPr="0091392E" w:rsidRDefault="0073273B" w:rsidP="0091392E">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w:t>
      </w:r>
      <w:r w:rsidR="0091392E">
        <w:rPr>
          <w:sz w:val="24"/>
          <w:szCs w:val="24"/>
        </w:rPr>
        <w:t>8</w:t>
      </w:r>
      <w:r w:rsidR="001D51FD" w:rsidRPr="00684A25">
        <w:rPr>
          <w:sz w:val="24"/>
          <w:szCs w:val="24"/>
        </w:rPr>
        <w:t>___ % of _____</w:t>
      </w:r>
      <w:r w:rsidR="0091392E">
        <w:rPr>
          <w:sz w:val="24"/>
          <w:szCs w:val="24"/>
        </w:rPr>
        <w:t>2</w:t>
      </w:r>
      <w:r w:rsidR="001D51FD" w:rsidRPr="00684A25">
        <w:rPr>
          <w:sz w:val="24"/>
          <w:szCs w:val="24"/>
        </w:rPr>
        <w:t>___ number of respondents</w:t>
      </w:r>
    </w:p>
    <w:p w14:paraId="7F5D0BB0" w14:textId="6811F542" w:rsidR="001D51FD" w:rsidRPr="0091392E" w:rsidRDefault="001D51FD" w:rsidP="0091392E">
      <w:pPr>
        <w:ind w:left="720"/>
        <w:rPr>
          <w:sz w:val="24"/>
          <w:szCs w:val="24"/>
        </w:rPr>
      </w:pPr>
      <w:r w:rsidRPr="0091392E">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5ECCDC32" w14:textId="77777777" w:rsidR="005A19A1" w:rsidRDefault="001E0EE3" w:rsidP="003F4D85">
      <w:pPr>
        <w:ind w:left="1080"/>
        <w:rPr>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6EEFE6A7" w14:textId="6A181975" w:rsidR="001E0EE3" w:rsidRPr="003F4D85" w:rsidRDefault="005A19A1" w:rsidP="003F4D85">
      <w:pPr>
        <w:ind w:left="1080"/>
        <w:rPr>
          <w:b/>
          <w:sz w:val="24"/>
          <w:szCs w:val="24"/>
        </w:rPr>
      </w:pPr>
      <w:r>
        <w:rPr>
          <w:sz w:val="24"/>
          <w:szCs w:val="24"/>
        </w:rPr>
        <w:t xml:space="preserve">The overall comparative impact on student performance in term of learning outcomes and grades are positive. In both courses, </w:t>
      </w:r>
      <w:r w:rsidRPr="00636463">
        <w:rPr>
          <w:sz w:val="24"/>
          <w:szCs w:val="24"/>
        </w:rPr>
        <w:t>sections using no-cost material have higher average GPA than the sections using traditional textbook</w:t>
      </w:r>
      <w:r w:rsidR="00636463" w:rsidRPr="00636463">
        <w:rPr>
          <w:sz w:val="24"/>
          <w:szCs w:val="24"/>
        </w:rPr>
        <w:t>.</w:t>
      </w:r>
    </w:p>
    <w:tbl>
      <w:tblPr>
        <w:tblStyle w:val="GridTable3-Accent1"/>
        <w:tblW w:w="8933" w:type="dxa"/>
        <w:tblInd w:w="602" w:type="dxa"/>
        <w:tblLook w:val="04A0" w:firstRow="1" w:lastRow="0" w:firstColumn="1" w:lastColumn="0" w:noHBand="0" w:noVBand="1"/>
      </w:tblPr>
      <w:tblGrid>
        <w:gridCol w:w="1356"/>
        <w:gridCol w:w="1323"/>
        <w:gridCol w:w="3554"/>
        <w:gridCol w:w="2700"/>
      </w:tblGrid>
      <w:tr w:rsidR="00250887" w14:paraId="539E7CAB" w14:textId="77777777" w:rsidTr="00250887">
        <w:trPr>
          <w:cnfStyle w:val="100000000000" w:firstRow="1" w:lastRow="0" w:firstColumn="0" w:lastColumn="0" w:oddVBand="0" w:evenVBand="0" w:oddHBand="0" w:evenHBand="0" w:firstRowFirstColumn="0" w:firstRowLastColumn="0" w:lastRowFirstColumn="0" w:lastRowLastColumn="0"/>
          <w:trHeight w:val="293"/>
        </w:trPr>
        <w:tc>
          <w:tcPr>
            <w:cnfStyle w:val="001000000100" w:firstRow="0" w:lastRow="0" w:firstColumn="1" w:lastColumn="0" w:oddVBand="0" w:evenVBand="0" w:oddHBand="0" w:evenHBand="0" w:firstRowFirstColumn="1" w:firstRowLastColumn="0" w:lastRowFirstColumn="0" w:lastRowLastColumn="0"/>
            <w:tcW w:w="1356" w:type="dxa"/>
          </w:tcPr>
          <w:p w14:paraId="0E97ADDA" w14:textId="079FC3F7" w:rsidR="00250887" w:rsidRDefault="00250887" w:rsidP="005F4428">
            <w:pPr>
              <w:jc w:val="left"/>
              <w:rPr>
                <w:b w:val="0"/>
                <w:sz w:val="24"/>
                <w:szCs w:val="24"/>
              </w:rPr>
            </w:pPr>
            <w:r>
              <w:rPr>
                <w:b w:val="0"/>
                <w:sz w:val="24"/>
                <w:szCs w:val="24"/>
              </w:rPr>
              <w:t>Course</w:t>
            </w:r>
          </w:p>
        </w:tc>
        <w:tc>
          <w:tcPr>
            <w:tcW w:w="1323" w:type="dxa"/>
          </w:tcPr>
          <w:p w14:paraId="5CB1191E" w14:textId="60664C01" w:rsidR="00250887" w:rsidRDefault="00250887" w:rsidP="005F4428">
            <w:pPr>
              <w:jc w:val="center"/>
              <w:cnfStyle w:val="100000000000" w:firstRow="1" w:lastRow="0" w:firstColumn="0" w:lastColumn="0" w:oddVBand="0" w:evenVBand="0" w:oddHBand="0" w:evenHBand="0" w:firstRowFirstColumn="0" w:firstRowLastColumn="0" w:lastRowFirstColumn="0" w:lastRowLastColumn="0"/>
              <w:rPr>
                <w:b w:val="0"/>
                <w:sz w:val="24"/>
                <w:szCs w:val="24"/>
              </w:rPr>
            </w:pPr>
          </w:p>
        </w:tc>
        <w:tc>
          <w:tcPr>
            <w:tcW w:w="6254" w:type="dxa"/>
            <w:gridSpan w:val="2"/>
          </w:tcPr>
          <w:p w14:paraId="396E32C5" w14:textId="3C27CB18" w:rsidR="00250887" w:rsidRPr="00250887" w:rsidRDefault="00250887" w:rsidP="005F4428">
            <w:pPr>
              <w:jc w:val="center"/>
              <w:cnfStyle w:val="100000000000" w:firstRow="1" w:lastRow="0" w:firstColumn="0" w:lastColumn="0" w:oddVBand="0" w:evenVBand="0" w:oddHBand="0" w:evenHBand="0" w:firstRowFirstColumn="0" w:firstRowLastColumn="0" w:lastRowFirstColumn="0" w:lastRowLastColumn="0"/>
              <w:rPr>
                <w:bCs w:val="0"/>
                <w:sz w:val="24"/>
                <w:szCs w:val="24"/>
              </w:rPr>
            </w:pPr>
            <w:r w:rsidRPr="00250887">
              <w:rPr>
                <w:bCs w:val="0"/>
                <w:sz w:val="24"/>
                <w:szCs w:val="24"/>
              </w:rPr>
              <w:t>Student average GPA</w:t>
            </w:r>
          </w:p>
        </w:tc>
      </w:tr>
      <w:tr w:rsidR="004064E9" w14:paraId="0B0119D6" w14:textId="77777777" w:rsidTr="00250887">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356" w:type="dxa"/>
          </w:tcPr>
          <w:p w14:paraId="26F88435" w14:textId="77777777" w:rsidR="004064E9" w:rsidRDefault="004064E9" w:rsidP="004064E9">
            <w:pPr>
              <w:rPr>
                <w:b/>
                <w:sz w:val="24"/>
                <w:szCs w:val="24"/>
              </w:rPr>
            </w:pPr>
          </w:p>
        </w:tc>
        <w:tc>
          <w:tcPr>
            <w:tcW w:w="1323" w:type="dxa"/>
          </w:tcPr>
          <w:p w14:paraId="26F4A877" w14:textId="12FEEA2E" w:rsidR="004064E9" w:rsidRPr="00DB52F1" w:rsidRDefault="004064E9" w:rsidP="004064E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Enrollment</w:t>
            </w:r>
          </w:p>
        </w:tc>
        <w:tc>
          <w:tcPr>
            <w:tcW w:w="3554" w:type="dxa"/>
          </w:tcPr>
          <w:p w14:paraId="12EFB473" w14:textId="36CC1D60" w:rsidR="004064E9" w:rsidRPr="00DB52F1" w:rsidRDefault="004064E9" w:rsidP="004064E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Semester with no-cost material</w:t>
            </w:r>
          </w:p>
        </w:tc>
        <w:tc>
          <w:tcPr>
            <w:tcW w:w="2700" w:type="dxa"/>
          </w:tcPr>
          <w:p w14:paraId="10EA63BE" w14:textId="5AF3EEF5" w:rsidR="004064E9" w:rsidRPr="00DB52F1" w:rsidRDefault="004064E9" w:rsidP="004064E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Semester with textbook</w:t>
            </w:r>
          </w:p>
        </w:tc>
      </w:tr>
      <w:tr w:rsidR="004064E9" w14:paraId="683C66E0" w14:textId="77777777" w:rsidTr="00250887">
        <w:trPr>
          <w:trHeight w:val="293"/>
        </w:trPr>
        <w:tc>
          <w:tcPr>
            <w:cnfStyle w:val="001000000000" w:firstRow="0" w:lastRow="0" w:firstColumn="1" w:lastColumn="0" w:oddVBand="0" w:evenVBand="0" w:oddHBand="0" w:evenHBand="0" w:firstRowFirstColumn="0" w:firstRowLastColumn="0" w:lastRowFirstColumn="0" w:lastRowLastColumn="0"/>
            <w:tcW w:w="1356" w:type="dxa"/>
          </w:tcPr>
          <w:p w14:paraId="02218271" w14:textId="77777777" w:rsidR="004064E9" w:rsidRPr="00250887" w:rsidRDefault="004064E9" w:rsidP="004064E9">
            <w:pPr>
              <w:jc w:val="left"/>
              <w:rPr>
                <w:bCs/>
                <w:sz w:val="24"/>
                <w:szCs w:val="24"/>
              </w:rPr>
            </w:pPr>
            <w:r w:rsidRPr="00250887">
              <w:rPr>
                <w:bCs/>
                <w:sz w:val="24"/>
                <w:szCs w:val="24"/>
              </w:rPr>
              <w:t>ENGR 1100</w:t>
            </w:r>
          </w:p>
        </w:tc>
        <w:tc>
          <w:tcPr>
            <w:tcW w:w="1323" w:type="dxa"/>
          </w:tcPr>
          <w:p w14:paraId="327D6C85" w14:textId="0EF19859" w:rsidR="004064E9" w:rsidRPr="00DB52F1" w:rsidRDefault="00250887" w:rsidP="004064E9">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DB52F1">
              <w:rPr>
                <w:bCs/>
                <w:sz w:val="24"/>
                <w:szCs w:val="24"/>
              </w:rPr>
              <w:t>49</w:t>
            </w:r>
          </w:p>
        </w:tc>
        <w:tc>
          <w:tcPr>
            <w:tcW w:w="3554" w:type="dxa"/>
          </w:tcPr>
          <w:p w14:paraId="5A95E61E" w14:textId="2B62B592" w:rsidR="004064E9" w:rsidRPr="00DB52F1" w:rsidRDefault="005A19A1" w:rsidP="004064E9">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3.45</w:t>
            </w:r>
          </w:p>
        </w:tc>
        <w:tc>
          <w:tcPr>
            <w:tcW w:w="2700" w:type="dxa"/>
          </w:tcPr>
          <w:p w14:paraId="43A9E82A" w14:textId="5475FF2E" w:rsidR="004064E9" w:rsidRPr="00DB52F1" w:rsidRDefault="005A19A1" w:rsidP="004064E9">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3.28</w:t>
            </w:r>
            <w:r w:rsidR="00250887">
              <w:rPr>
                <w:bCs/>
                <w:sz w:val="24"/>
                <w:szCs w:val="24"/>
              </w:rPr>
              <w:t xml:space="preserve"> </w:t>
            </w:r>
          </w:p>
        </w:tc>
      </w:tr>
      <w:tr w:rsidR="004064E9" w14:paraId="6B0E5B4C" w14:textId="77777777" w:rsidTr="00636463">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356" w:type="dxa"/>
          </w:tcPr>
          <w:p w14:paraId="7043947C" w14:textId="77777777" w:rsidR="004064E9" w:rsidRPr="00250887" w:rsidRDefault="004064E9" w:rsidP="004064E9">
            <w:pPr>
              <w:jc w:val="left"/>
              <w:rPr>
                <w:bCs/>
                <w:sz w:val="24"/>
                <w:szCs w:val="24"/>
              </w:rPr>
            </w:pPr>
            <w:r w:rsidRPr="00250887">
              <w:rPr>
                <w:bCs/>
                <w:sz w:val="24"/>
                <w:szCs w:val="24"/>
              </w:rPr>
              <w:t>IET 4451</w:t>
            </w:r>
          </w:p>
        </w:tc>
        <w:tc>
          <w:tcPr>
            <w:tcW w:w="1323" w:type="dxa"/>
            <w:shd w:val="clear" w:color="auto" w:fill="auto"/>
          </w:tcPr>
          <w:p w14:paraId="2503C2A7" w14:textId="28CDFE28" w:rsidR="004064E9" w:rsidRPr="00DB52F1" w:rsidRDefault="00DE380A" w:rsidP="004064E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73</w:t>
            </w:r>
          </w:p>
        </w:tc>
        <w:tc>
          <w:tcPr>
            <w:tcW w:w="3554" w:type="dxa"/>
            <w:shd w:val="clear" w:color="auto" w:fill="auto"/>
          </w:tcPr>
          <w:p w14:paraId="6BA45593" w14:textId="4076A974" w:rsidR="004064E9" w:rsidRPr="00DB52F1" w:rsidRDefault="00E74AE2" w:rsidP="004064E9">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3.</w:t>
            </w:r>
            <w:r w:rsidR="00DE380A">
              <w:rPr>
                <w:bCs/>
                <w:sz w:val="24"/>
                <w:szCs w:val="24"/>
              </w:rPr>
              <w:t>24</w:t>
            </w:r>
          </w:p>
        </w:tc>
        <w:tc>
          <w:tcPr>
            <w:tcW w:w="2700" w:type="dxa"/>
            <w:shd w:val="clear" w:color="auto" w:fill="auto"/>
          </w:tcPr>
          <w:p w14:paraId="1A73E469" w14:textId="62C74244" w:rsidR="004064E9" w:rsidRPr="00DB52F1" w:rsidRDefault="00E74AE2" w:rsidP="004064E9">
            <w:pPr>
              <w:jc w:val="center"/>
              <w:cnfStyle w:val="000000100000" w:firstRow="0" w:lastRow="0" w:firstColumn="0" w:lastColumn="0" w:oddVBand="0" w:evenVBand="0" w:oddHBand="1" w:evenHBand="0" w:firstRowFirstColumn="0" w:firstRowLastColumn="0" w:lastRowFirstColumn="0" w:lastRowLastColumn="0"/>
              <w:rPr>
                <w:bCs/>
                <w:sz w:val="24"/>
                <w:szCs w:val="24"/>
                <w:highlight w:val="yellow"/>
              </w:rPr>
            </w:pPr>
            <w:r w:rsidRPr="00636463">
              <w:rPr>
                <w:bCs/>
                <w:sz w:val="24"/>
                <w:szCs w:val="24"/>
              </w:rPr>
              <w:t>3.09</w:t>
            </w:r>
          </w:p>
        </w:tc>
      </w:tr>
    </w:tbl>
    <w:p w14:paraId="4AFE0878" w14:textId="77777777" w:rsidR="004064E9" w:rsidRDefault="004064E9" w:rsidP="003F4D85">
      <w:pPr>
        <w:pStyle w:val="ListParagraph"/>
        <w:ind w:left="1080"/>
        <w:rPr>
          <w:sz w:val="24"/>
          <w:szCs w:val="24"/>
        </w:rPr>
      </w:pPr>
    </w:p>
    <w:p w14:paraId="77014C4E" w14:textId="2C5B70AB" w:rsidR="00071B22" w:rsidRPr="00071B22" w:rsidRDefault="00071B22" w:rsidP="003F4D85">
      <w:pPr>
        <w:pStyle w:val="ListParagraph"/>
        <w:ind w:left="1080"/>
        <w:rPr>
          <w:sz w:val="24"/>
          <w:szCs w:val="24"/>
        </w:rPr>
      </w:pPr>
      <w:r w:rsidRPr="00071B22">
        <w:rPr>
          <w:sz w:val="24"/>
          <w:szCs w:val="24"/>
        </w:rPr>
        <w:t xml:space="preserve">Choose One:  </w:t>
      </w:r>
    </w:p>
    <w:p w14:paraId="07D93CF5" w14:textId="0D397D9B" w:rsidR="00071B22" w:rsidRPr="00071B22" w:rsidRDefault="00071B22" w:rsidP="003F4D85">
      <w:pPr>
        <w:pStyle w:val="ListParagraph"/>
        <w:numPr>
          <w:ilvl w:val="0"/>
          <w:numId w:val="16"/>
        </w:numPr>
        <w:ind w:left="1800"/>
        <w:rPr>
          <w:sz w:val="24"/>
          <w:szCs w:val="24"/>
        </w:rPr>
      </w:pPr>
      <w:r>
        <w:rPr>
          <w:sz w:val="24"/>
          <w:szCs w:val="24"/>
        </w:rPr>
        <w:t>_</w:t>
      </w:r>
      <w:r w:rsidR="005A19A1">
        <w:rPr>
          <w:sz w:val="24"/>
          <w:szCs w:val="24"/>
        </w:rPr>
        <w:t>X</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lastRenderedPageBreak/>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5513295E" w14:textId="77777777" w:rsidR="003F4D85" w:rsidRDefault="001E0EE3" w:rsidP="003F4D85">
      <w:pPr>
        <w:ind w:left="720"/>
        <w:rPr>
          <w:b/>
          <w:sz w:val="24"/>
          <w:szCs w:val="24"/>
        </w:rPr>
      </w:pPr>
      <w:r>
        <w:rPr>
          <w:b/>
          <w:sz w:val="24"/>
          <w:szCs w:val="24"/>
        </w:rPr>
        <w:t>Drop/Fail/Withdraw Rate:</w:t>
      </w:r>
    </w:p>
    <w:p w14:paraId="415051F7" w14:textId="3AB01053" w:rsid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334E0E0B" w14:textId="77777777" w:rsidR="00636463" w:rsidRDefault="005A19A1" w:rsidP="00636463">
      <w:pPr>
        <w:ind w:left="1080"/>
        <w:rPr>
          <w:iCs/>
          <w:sz w:val="24"/>
          <w:szCs w:val="24"/>
        </w:rPr>
      </w:pPr>
      <w:r>
        <w:rPr>
          <w:iCs/>
          <w:sz w:val="24"/>
          <w:szCs w:val="24"/>
        </w:rPr>
        <w:t xml:space="preserve">For ENGR 1100, the DFW rate comparison is between Fall 2020 (semester with no-cost material) and Fall 2019 (semester with traditional textbook). </w:t>
      </w:r>
      <w:r w:rsidR="00636463">
        <w:rPr>
          <w:iCs/>
          <w:sz w:val="24"/>
          <w:szCs w:val="24"/>
        </w:rPr>
        <w:t>There are two students who withdrew the course early on in Fall 2020. If we focus only on the failure rate for students who complete the entire semester, then the percentage is neutral (2.0% for the semester with no-cost material, and 2.8% for the semester with textbook).</w:t>
      </w:r>
    </w:p>
    <w:p w14:paraId="05FF256B" w14:textId="77777777" w:rsidR="00636463" w:rsidRDefault="00636463" w:rsidP="003F4D85">
      <w:pPr>
        <w:ind w:left="1080"/>
        <w:rPr>
          <w:iCs/>
          <w:sz w:val="24"/>
          <w:szCs w:val="24"/>
        </w:rPr>
      </w:pPr>
      <w:r w:rsidRPr="00636463">
        <w:rPr>
          <w:iCs/>
          <w:sz w:val="24"/>
          <w:szCs w:val="24"/>
        </w:rPr>
        <w:t>For IET 4451, during Fall 2020, we had 38 students complete the course and 4 withdrawals. During Spring 2021, 35 students completed the course and 7 students withdrew. There were no Drop/Fail students in either the Fall 2020 or Spring 2021 semesters.</w:t>
      </w:r>
      <w:r>
        <w:rPr>
          <w:iCs/>
          <w:sz w:val="24"/>
          <w:szCs w:val="24"/>
        </w:rPr>
        <w:t xml:space="preserve"> </w:t>
      </w:r>
    </w:p>
    <w:p w14:paraId="7F14BF02" w14:textId="284B313F" w:rsidR="00DE380A" w:rsidRPr="005A19A1" w:rsidRDefault="005A19A1" w:rsidP="00636463">
      <w:pPr>
        <w:ind w:left="1080"/>
        <w:rPr>
          <w:iCs/>
          <w:sz w:val="24"/>
          <w:szCs w:val="24"/>
        </w:rPr>
      </w:pPr>
      <w:r>
        <w:rPr>
          <w:iCs/>
          <w:sz w:val="24"/>
          <w:szCs w:val="24"/>
        </w:rPr>
        <w:t xml:space="preserve">Please note that there is significant impact on the course modality due to Covid19 pandemic where Fall 2020 is </w:t>
      </w:r>
      <w:r w:rsidR="00EB65AD">
        <w:rPr>
          <w:iCs/>
          <w:sz w:val="24"/>
          <w:szCs w:val="24"/>
        </w:rPr>
        <w:t xml:space="preserve">completely virtual learning. </w:t>
      </w:r>
    </w:p>
    <w:tbl>
      <w:tblPr>
        <w:tblStyle w:val="GridTable3-Accent1"/>
        <w:tblW w:w="8933" w:type="dxa"/>
        <w:tblInd w:w="602" w:type="dxa"/>
        <w:tblLook w:val="04A0" w:firstRow="1" w:lastRow="0" w:firstColumn="1" w:lastColumn="0" w:noHBand="0" w:noVBand="1"/>
      </w:tblPr>
      <w:tblGrid>
        <w:gridCol w:w="1356"/>
        <w:gridCol w:w="1323"/>
        <w:gridCol w:w="3554"/>
        <w:gridCol w:w="2700"/>
      </w:tblGrid>
      <w:tr w:rsidR="005A19A1" w14:paraId="4555CB81" w14:textId="77777777" w:rsidTr="005F4428">
        <w:trPr>
          <w:cnfStyle w:val="100000000000" w:firstRow="1" w:lastRow="0" w:firstColumn="0" w:lastColumn="0" w:oddVBand="0" w:evenVBand="0" w:oddHBand="0" w:evenHBand="0" w:firstRowFirstColumn="0" w:firstRowLastColumn="0" w:lastRowFirstColumn="0" w:lastRowLastColumn="0"/>
          <w:trHeight w:val="293"/>
        </w:trPr>
        <w:tc>
          <w:tcPr>
            <w:cnfStyle w:val="001000000100" w:firstRow="0" w:lastRow="0" w:firstColumn="1" w:lastColumn="0" w:oddVBand="0" w:evenVBand="0" w:oddHBand="0" w:evenHBand="0" w:firstRowFirstColumn="1" w:firstRowLastColumn="0" w:lastRowFirstColumn="0" w:lastRowLastColumn="0"/>
            <w:tcW w:w="1356" w:type="dxa"/>
          </w:tcPr>
          <w:p w14:paraId="7BD11DE0" w14:textId="77777777" w:rsidR="005A19A1" w:rsidRDefault="005A19A1" w:rsidP="005F4428">
            <w:pPr>
              <w:jc w:val="left"/>
              <w:rPr>
                <w:b w:val="0"/>
                <w:sz w:val="24"/>
                <w:szCs w:val="24"/>
              </w:rPr>
            </w:pPr>
            <w:r>
              <w:rPr>
                <w:b w:val="0"/>
                <w:sz w:val="24"/>
                <w:szCs w:val="24"/>
              </w:rPr>
              <w:t>Course</w:t>
            </w:r>
          </w:p>
        </w:tc>
        <w:tc>
          <w:tcPr>
            <w:tcW w:w="1323" w:type="dxa"/>
          </w:tcPr>
          <w:p w14:paraId="20740C7E" w14:textId="77777777" w:rsidR="005A19A1" w:rsidRDefault="005A19A1" w:rsidP="005F4428">
            <w:pPr>
              <w:jc w:val="center"/>
              <w:cnfStyle w:val="100000000000" w:firstRow="1" w:lastRow="0" w:firstColumn="0" w:lastColumn="0" w:oddVBand="0" w:evenVBand="0" w:oddHBand="0" w:evenHBand="0" w:firstRowFirstColumn="0" w:firstRowLastColumn="0" w:lastRowFirstColumn="0" w:lastRowLastColumn="0"/>
              <w:rPr>
                <w:b w:val="0"/>
                <w:sz w:val="24"/>
                <w:szCs w:val="24"/>
              </w:rPr>
            </w:pPr>
          </w:p>
        </w:tc>
        <w:tc>
          <w:tcPr>
            <w:tcW w:w="6254" w:type="dxa"/>
            <w:gridSpan w:val="2"/>
          </w:tcPr>
          <w:p w14:paraId="1F1009D4" w14:textId="08E3EE5E" w:rsidR="005A19A1" w:rsidRPr="00250887" w:rsidRDefault="005A19A1" w:rsidP="005F4428">
            <w:pPr>
              <w:jc w:val="center"/>
              <w:cnfStyle w:val="100000000000" w:firstRow="1" w:lastRow="0" w:firstColumn="0" w:lastColumn="0" w:oddVBand="0" w:evenVBand="0" w:oddHBand="0" w:evenHBand="0" w:firstRowFirstColumn="0" w:firstRowLastColumn="0" w:lastRowFirstColumn="0" w:lastRowLastColumn="0"/>
              <w:rPr>
                <w:bCs w:val="0"/>
                <w:sz w:val="24"/>
                <w:szCs w:val="24"/>
              </w:rPr>
            </w:pPr>
            <w:r>
              <w:rPr>
                <w:bCs w:val="0"/>
                <w:sz w:val="24"/>
                <w:szCs w:val="24"/>
              </w:rPr>
              <w:t>Drop/Fail/Withdraw Rate Comparison</w:t>
            </w:r>
          </w:p>
        </w:tc>
      </w:tr>
      <w:tr w:rsidR="005A19A1" w14:paraId="313EAA08" w14:textId="77777777" w:rsidTr="005F4428">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356" w:type="dxa"/>
          </w:tcPr>
          <w:p w14:paraId="076CE444" w14:textId="77777777" w:rsidR="005A19A1" w:rsidRDefault="005A19A1" w:rsidP="005F4428">
            <w:pPr>
              <w:rPr>
                <w:b/>
                <w:sz w:val="24"/>
                <w:szCs w:val="24"/>
              </w:rPr>
            </w:pPr>
          </w:p>
        </w:tc>
        <w:tc>
          <w:tcPr>
            <w:tcW w:w="1323" w:type="dxa"/>
          </w:tcPr>
          <w:p w14:paraId="777DB45B" w14:textId="77777777" w:rsidR="005A19A1" w:rsidRPr="00DB52F1" w:rsidRDefault="005A19A1"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Enrollment</w:t>
            </w:r>
          </w:p>
        </w:tc>
        <w:tc>
          <w:tcPr>
            <w:tcW w:w="3554" w:type="dxa"/>
          </w:tcPr>
          <w:p w14:paraId="2C7CF4FB" w14:textId="77777777" w:rsidR="005A19A1" w:rsidRPr="00DB52F1" w:rsidRDefault="005A19A1"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Semester with no-cost material</w:t>
            </w:r>
          </w:p>
        </w:tc>
        <w:tc>
          <w:tcPr>
            <w:tcW w:w="2700" w:type="dxa"/>
          </w:tcPr>
          <w:p w14:paraId="50CF06A4" w14:textId="77777777" w:rsidR="005A19A1" w:rsidRPr="00DB52F1" w:rsidRDefault="005A19A1"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Pr>
                <w:b/>
                <w:sz w:val="24"/>
                <w:szCs w:val="24"/>
              </w:rPr>
              <w:t>Semester with textbook</w:t>
            </w:r>
          </w:p>
        </w:tc>
      </w:tr>
      <w:tr w:rsidR="005A19A1" w14:paraId="621361D1" w14:textId="77777777" w:rsidTr="005F4428">
        <w:trPr>
          <w:trHeight w:val="293"/>
        </w:trPr>
        <w:tc>
          <w:tcPr>
            <w:cnfStyle w:val="001000000000" w:firstRow="0" w:lastRow="0" w:firstColumn="1" w:lastColumn="0" w:oddVBand="0" w:evenVBand="0" w:oddHBand="0" w:evenHBand="0" w:firstRowFirstColumn="0" w:firstRowLastColumn="0" w:lastRowFirstColumn="0" w:lastRowLastColumn="0"/>
            <w:tcW w:w="1356" w:type="dxa"/>
          </w:tcPr>
          <w:p w14:paraId="4C0DB053" w14:textId="77777777" w:rsidR="005A19A1" w:rsidRPr="00250887" w:rsidRDefault="005A19A1" w:rsidP="005F4428">
            <w:pPr>
              <w:jc w:val="left"/>
              <w:rPr>
                <w:bCs/>
                <w:sz w:val="24"/>
                <w:szCs w:val="24"/>
              </w:rPr>
            </w:pPr>
            <w:r w:rsidRPr="00250887">
              <w:rPr>
                <w:bCs/>
                <w:sz w:val="24"/>
                <w:szCs w:val="24"/>
              </w:rPr>
              <w:t>ENGR 1100</w:t>
            </w:r>
          </w:p>
        </w:tc>
        <w:tc>
          <w:tcPr>
            <w:tcW w:w="1323" w:type="dxa"/>
          </w:tcPr>
          <w:p w14:paraId="44323B91" w14:textId="77777777" w:rsidR="005A19A1" w:rsidRPr="00DB52F1" w:rsidRDefault="005A19A1" w:rsidP="005F4428">
            <w:pPr>
              <w:jc w:val="center"/>
              <w:cnfStyle w:val="000000000000" w:firstRow="0" w:lastRow="0" w:firstColumn="0" w:lastColumn="0" w:oddVBand="0" w:evenVBand="0" w:oddHBand="0" w:evenHBand="0" w:firstRowFirstColumn="0" w:firstRowLastColumn="0" w:lastRowFirstColumn="0" w:lastRowLastColumn="0"/>
              <w:rPr>
                <w:bCs/>
                <w:sz w:val="24"/>
                <w:szCs w:val="24"/>
              </w:rPr>
            </w:pPr>
            <w:r w:rsidRPr="00DB52F1">
              <w:rPr>
                <w:bCs/>
                <w:sz w:val="24"/>
                <w:szCs w:val="24"/>
              </w:rPr>
              <w:t>49</w:t>
            </w:r>
          </w:p>
        </w:tc>
        <w:tc>
          <w:tcPr>
            <w:tcW w:w="3554" w:type="dxa"/>
          </w:tcPr>
          <w:p w14:paraId="5623F43A" w14:textId="0F73C265" w:rsidR="005A19A1" w:rsidRPr="00DB52F1" w:rsidRDefault="005A19A1" w:rsidP="005F4428">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6</w:t>
            </w:r>
            <w:r w:rsidR="00EB65AD">
              <w:rPr>
                <w:bCs/>
                <w:sz w:val="24"/>
                <w:szCs w:val="24"/>
              </w:rPr>
              <w:t>.1</w:t>
            </w:r>
            <w:r>
              <w:rPr>
                <w:bCs/>
                <w:sz w:val="24"/>
                <w:szCs w:val="24"/>
              </w:rPr>
              <w:t>%</w:t>
            </w:r>
          </w:p>
        </w:tc>
        <w:tc>
          <w:tcPr>
            <w:tcW w:w="2700" w:type="dxa"/>
          </w:tcPr>
          <w:p w14:paraId="3C5D4B02" w14:textId="55142075" w:rsidR="005A19A1" w:rsidRPr="00DB52F1" w:rsidRDefault="00EB65AD" w:rsidP="005F4428">
            <w:pPr>
              <w:jc w:val="center"/>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2.8</w:t>
            </w:r>
            <w:r w:rsidR="005A19A1">
              <w:rPr>
                <w:bCs/>
                <w:sz w:val="24"/>
                <w:szCs w:val="24"/>
              </w:rPr>
              <w:t xml:space="preserve">% </w:t>
            </w:r>
          </w:p>
        </w:tc>
      </w:tr>
      <w:tr w:rsidR="005A19A1" w14:paraId="1D7C66EC" w14:textId="77777777" w:rsidTr="00636463">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356" w:type="dxa"/>
            <w:shd w:val="clear" w:color="auto" w:fill="auto"/>
          </w:tcPr>
          <w:p w14:paraId="1C9C83D1" w14:textId="77777777" w:rsidR="005A19A1" w:rsidRPr="00250887" w:rsidRDefault="005A19A1" w:rsidP="005F4428">
            <w:pPr>
              <w:jc w:val="left"/>
              <w:rPr>
                <w:bCs/>
                <w:sz w:val="24"/>
                <w:szCs w:val="24"/>
              </w:rPr>
            </w:pPr>
            <w:r w:rsidRPr="00250887">
              <w:rPr>
                <w:bCs/>
                <w:sz w:val="24"/>
                <w:szCs w:val="24"/>
              </w:rPr>
              <w:t>IET 4451</w:t>
            </w:r>
          </w:p>
        </w:tc>
        <w:tc>
          <w:tcPr>
            <w:tcW w:w="1323" w:type="dxa"/>
            <w:shd w:val="clear" w:color="auto" w:fill="auto"/>
          </w:tcPr>
          <w:p w14:paraId="3B79AA30" w14:textId="3472F2D8" w:rsidR="005A19A1" w:rsidRPr="00636463" w:rsidRDefault="00DE380A"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636463">
              <w:rPr>
                <w:bCs/>
                <w:sz w:val="24"/>
                <w:szCs w:val="24"/>
              </w:rPr>
              <w:t>73</w:t>
            </w:r>
          </w:p>
        </w:tc>
        <w:tc>
          <w:tcPr>
            <w:tcW w:w="3554" w:type="dxa"/>
            <w:shd w:val="clear" w:color="auto" w:fill="auto"/>
          </w:tcPr>
          <w:p w14:paraId="4582D54B" w14:textId="01566E21" w:rsidR="005A19A1" w:rsidRPr="00636463" w:rsidRDefault="00DE380A"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636463">
              <w:rPr>
                <w:bCs/>
                <w:sz w:val="24"/>
                <w:szCs w:val="24"/>
              </w:rPr>
              <w:t>13.1</w:t>
            </w:r>
            <w:r w:rsidR="00E74AE2" w:rsidRPr="00636463">
              <w:rPr>
                <w:bCs/>
                <w:sz w:val="24"/>
                <w:szCs w:val="24"/>
              </w:rPr>
              <w:t>%</w:t>
            </w:r>
          </w:p>
        </w:tc>
        <w:tc>
          <w:tcPr>
            <w:tcW w:w="2700" w:type="dxa"/>
            <w:shd w:val="clear" w:color="auto" w:fill="auto"/>
          </w:tcPr>
          <w:p w14:paraId="473D80A0" w14:textId="426076F2" w:rsidR="005A19A1" w:rsidRPr="00636463" w:rsidRDefault="00E74AE2"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r w:rsidRPr="00636463">
              <w:rPr>
                <w:bCs/>
                <w:sz w:val="24"/>
                <w:szCs w:val="24"/>
              </w:rPr>
              <w:t>0%</w:t>
            </w:r>
          </w:p>
        </w:tc>
      </w:tr>
    </w:tbl>
    <w:p w14:paraId="52896A2F" w14:textId="77777777" w:rsidR="005A19A1" w:rsidRPr="0033401E" w:rsidRDefault="005A19A1" w:rsidP="003F4D85">
      <w:pPr>
        <w:ind w:left="1080"/>
        <w:rPr>
          <w:i/>
          <w:sz w:val="24"/>
          <w:szCs w:val="24"/>
        </w:rPr>
      </w:pPr>
    </w:p>
    <w:p w14:paraId="42D814CB" w14:textId="15BCBDDA" w:rsidR="001E0EE3" w:rsidRPr="001E0EE3" w:rsidRDefault="001E0EE3" w:rsidP="003F4D85">
      <w:pPr>
        <w:ind w:left="1080"/>
        <w:rPr>
          <w:sz w:val="24"/>
          <w:szCs w:val="24"/>
        </w:rPr>
      </w:pPr>
      <w:r w:rsidRPr="001E0EE3">
        <w:rPr>
          <w:sz w:val="24"/>
          <w:szCs w:val="24"/>
        </w:rPr>
        <w:t>____</w:t>
      </w:r>
      <w:r w:rsidR="0090473B">
        <w:rPr>
          <w:sz w:val="24"/>
          <w:szCs w:val="24"/>
        </w:rPr>
        <w:t>8.1</w:t>
      </w:r>
      <w:r w:rsidRPr="001E0EE3">
        <w:rPr>
          <w:sz w:val="24"/>
          <w:szCs w:val="24"/>
        </w:rPr>
        <w:t>___% of students, out of a total __</w:t>
      </w:r>
      <w:r w:rsidR="00636463">
        <w:rPr>
          <w:sz w:val="24"/>
          <w:szCs w:val="24"/>
        </w:rPr>
        <w:t>1</w:t>
      </w:r>
      <w:r w:rsidR="0090473B">
        <w:rPr>
          <w:sz w:val="24"/>
          <w:szCs w:val="24"/>
        </w:rPr>
        <w:t>22</w:t>
      </w:r>
      <w:r w:rsidRPr="001E0EE3">
        <w:rPr>
          <w:sz w:val="24"/>
          <w:szCs w:val="24"/>
        </w:rPr>
        <w:t xml:space="preserve">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75A2F698" w:rsidR="00071B22" w:rsidRPr="00071B22" w:rsidRDefault="00071B22" w:rsidP="003F4D85">
      <w:pPr>
        <w:pStyle w:val="ListParagraph"/>
        <w:numPr>
          <w:ilvl w:val="0"/>
          <w:numId w:val="15"/>
        </w:numPr>
        <w:ind w:left="1800"/>
        <w:rPr>
          <w:sz w:val="24"/>
          <w:szCs w:val="24"/>
        </w:rPr>
      </w:pPr>
      <w:r>
        <w:rPr>
          <w:sz w:val="24"/>
          <w:szCs w:val="24"/>
        </w:rPr>
        <w:t>_</w:t>
      </w:r>
      <w:r w:rsidR="00EB65AD">
        <w:rPr>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 xml:space="preserve">all quantitative and qualitative measures of impact on student success and experience. </w:t>
      </w:r>
      <w:r w:rsidRPr="0033401E">
        <w:rPr>
          <w:i/>
          <w:sz w:val="24"/>
          <w:szCs w:val="24"/>
        </w:rPr>
        <w:lastRenderedPageBreak/>
        <w:t>Include all measures as described in your proposal, along with any measures developed after the proposal submission.</w:t>
      </w:r>
      <w:r w:rsidR="00E34FAA" w:rsidRPr="0033401E">
        <w:rPr>
          <w:i/>
          <w:sz w:val="24"/>
          <w:szCs w:val="24"/>
          <w:highlight w:val="yellow"/>
        </w:rPr>
        <w:t xml:space="preserve">  </w:t>
      </w: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(DFW) delta rates</w:t>
      </w:r>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Pre-and post-transformation DFW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02725EE5" w:rsidR="0073273B" w:rsidRPr="00EB65AD"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3161B1A5" w14:textId="13193F50" w:rsidR="00EB65AD" w:rsidRPr="00EB65AD" w:rsidRDefault="00EB65AD" w:rsidP="00EB65AD">
      <w:pPr>
        <w:ind w:left="360"/>
        <w:rPr>
          <w:bCs/>
          <w:sz w:val="24"/>
          <w:szCs w:val="24"/>
        </w:rPr>
      </w:pPr>
      <w:r w:rsidRPr="00EB65AD">
        <w:rPr>
          <w:bCs/>
          <w:sz w:val="24"/>
          <w:szCs w:val="24"/>
        </w:rPr>
        <w:t>In this project, we measure</w:t>
      </w:r>
      <w:r>
        <w:rPr>
          <w:bCs/>
          <w:sz w:val="24"/>
          <w:szCs w:val="24"/>
        </w:rPr>
        <w:t>d</w:t>
      </w:r>
      <w:r w:rsidRPr="00EB65AD">
        <w:rPr>
          <w:bCs/>
          <w:sz w:val="24"/>
          <w:szCs w:val="24"/>
        </w:rPr>
        <w:t xml:space="preserve"> the success of our transformative efforts</w:t>
      </w:r>
      <w:r>
        <w:rPr>
          <w:bCs/>
          <w:sz w:val="24"/>
          <w:szCs w:val="24"/>
        </w:rPr>
        <w:t xml:space="preserve"> based on both the quantitative data and qualitative</w:t>
      </w:r>
      <w:r w:rsidRPr="00EB65AD">
        <w:rPr>
          <w:bCs/>
          <w:sz w:val="24"/>
          <w:szCs w:val="24"/>
        </w:rPr>
        <w:t xml:space="preserve"> </w:t>
      </w:r>
      <w:r>
        <w:rPr>
          <w:bCs/>
          <w:sz w:val="24"/>
          <w:szCs w:val="24"/>
        </w:rPr>
        <w:t xml:space="preserve">data.  In terms of quantitative analysis, </w:t>
      </w:r>
      <w:r w:rsidRPr="00EB65AD">
        <w:rPr>
          <w:bCs/>
          <w:sz w:val="24"/>
          <w:szCs w:val="24"/>
        </w:rPr>
        <w:t>we compared students’ DFW rates, grades, and success in learning objectives. The DFW rates are taken from student registration system. The student grades and success in learning objectives are assessed Faculty Course Assessment Report (FCA</w:t>
      </w:r>
      <w:r>
        <w:rPr>
          <w:bCs/>
          <w:sz w:val="24"/>
          <w:szCs w:val="24"/>
        </w:rPr>
        <w:t>R) which</w:t>
      </w:r>
      <w:r w:rsidRPr="00EB65AD">
        <w:rPr>
          <w:bCs/>
          <w:sz w:val="24"/>
          <w:szCs w:val="24"/>
        </w:rPr>
        <w:t xml:space="preserve"> includes students’ grade and success in achieving the learning outcomes. </w:t>
      </w:r>
      <w:r w:rsidR="00724751">
        <w:rPr>
          <w:bCs/>
          <w:sz w:val="24"/>
          <w:szCs w:val="24"/>
        </w:rPr>
        <w:t xml:space="preserve">The qualitative analysis is based on </w:t>
      </w:r>
      <w:r w:rsidRPr="00EB65AD">
        <w:rPr>
          <w:bCs/>
          <w:sz w:val="24"/>
          <w:szCs w:val="24"/>
        </w:rPr>
        <w:t xml:space="preserve">a survey </w:t>
      </w:r>
      <w:r w:rsidR="00724751">
        <w:rPr>
          <w:bCs/>
          <w:sz w:val="24"/>
          <w:szCs w:val="24"/>
        </w:rPr>
        <w:t xml:space="preserve">we developed </w:t>
      </w:r>
      <w:r w:rsidRPr="00EB65AD">
        <w:rPr>
          <w:bCs/>
          <w:sz w:val="24"/>
          <w:szCs w:val="24"/>
        </w:rPr>
        <w:t xml:space="preserve">to collect students’ </w:t>
      </w:r>
      <w:r w:rsidR="00724751">
        <w:rPr>
          <w:bCs/>
          <w:sz w:val="24"/>
          <w:szCs w:val="24"/>
        </w:rPr>
        <w:t>feedback</w:t>
      </w:r>
      <w:r w:rsidRPr="00EB65AD">
        <w:rPr>
          <w:bCs/>
          <w:sz w:val="24"/>
          <w:szCs w:val="24"/>
        </w:rPr>
        <w:t xml:space="preserve"> on the learning materials used in the courses. Students rated their experience using a 5-point Likert scale</w:t>
      </w:r>
      <w:r w:rsidR="00724751">
        <w:rPr>
          <w:bCs/>
          <w:sz w:val="24"/>
          <w:szCs w:val="24"/>
        </w:rPr>
        <w:t xml:space="preserve"> (1=strongly disagree, and 5= strongly agree)</w:t>
      </w:r>
      <w:r w:rsidRPr="00EB65AD">
        <w:rPr>
          <w:bCs/>
          <w:sz w:val="24"/>
          <w:szCs w:val="24"/>
        </w:rPr>
        <w:t xml:space="preserve">. Students were also given the opportunity to enter any comments they may have. A copy of the survey results is attached separately. </w:t>
      </w:r>
    </w:p>
    <w:p w14:paraId="0BE8E79A" w14:textId="63420B57" w:rsidR="00EB65AD" w:rsidRPr="00EB65AD" w:rsidRDefault="00EB65AD" w:rsidP="00EB65AD">
      <w:pPr>
        <w:ind w:left="360"/>
        <w:rPr>
          <w:bCs/>
          <w:sz w:val="24"/>
          <w:szCs w:val="24"/>
        </w:rPr>
      </w:pPr>
      <w:r w:rsidRPr="00EB65AD">
        <w:rPr>
          <w:bCs/>
          <w:sz w:val="24"/>
          <w:szCs w:val="24"/>
        </w:rPr>
        <w:t>Based on the assessment data we collected, the learning materials we created offered the same level of the learning effectiveness as the textbooks. Students’ performance outcomes and DFW in general stayed neutral</w:t>
      </w:r>
      <w:r w:rsidR="00724751">
        <w:rPr>
          <w:bCs/>
          <w:sz w:val="24"/>
          <w:szCs w:val="24"/>
        </w:rPr>
        <w:t xml:space="preserve">. One factor that is potentially affecting the DFW rate is the course modality change due to COVID-19. </w:t>
      </w:r>
      <w:r w:rsidRPr="00EB65AD">
        <w:rPr>
          <w:bCs/>
          <w:sz w:val="24"/>
          <w:szCs w:val="24"/>
        </w:rPr>
        <w:t xml:space="preserve"> </w:t>
      </w:r>
    </w:p>
    <w:p w14:paraId="0109BE90" w14:textId="77B9E883" w:rsidR="00EB65AD" w:rsidRDefault="00EB65AD" w:rsidP="00EB65AD">
      <w:pPr>
        <w:ind w:left="360"/>
        <w:rPr>
          <w:bCs/>
          <w:sz w:val="24"/>
          <w:szCs w:val="24"/>
        </w:rPr>
      </w:pPr>
      <w:r w:rsidRPr="00EB65AD">
        <w:rPr>
          <w:bCs/>
          <w:sz w:val="24"/>
          <w:szCs w:val="24"/>
        </w:rPr>
        <w:t xml:space="preserve">The student learning outcomes are listed as follows. </w:t>
      </w:r>
    </w:p>
    <w:tbl>
      <w:tblPr>
        <w:tblStyle w:val="GridTable3-Accent1"/>
        <w:tblW w:w="8838" w:type="dxa"/>
        <w:tblInd w:w="612" w:type="dxa"/>
        <w:tblLook w:val="04A0" w:firstRow="1" w:lastRow="0" w:firstColumn="1" w:lastColumn="0" w:noHBand="0" w:noVBand="1"/>
      </w:tblPr>
      <w:tblGrid>
        <w:gridCol w:w="1530"/>
        <w:gridCol w:w="7308"/>
      </w:tblGrid>
      <w:tr w:rsidR="00724751" w14:paraId="0D12414B" w14:textId="77777777" w:rsidTr="00724751">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530" w:type="dxa"/>
          </w:tcPr>
          <w:p w14:paraId="0C9D4313" w14:textId="5A2A4C94" w:rsidR="00724751" w:rsidRDefault="00724751" w:rsidP="005F4428">
            <w:pPr>
              <w:jc w:val="left"/>
              <w:rPr>
                <w:b w:val="0"/>
                <w:sz w:val="24"/>
                <w:szCs w:val="24"/>
              </w:rPr>
            </w:pPr>
            <w:r>
              <w:rPr>
                <w:b w:val="0"/>
                <w:sz w:val="24"/>
                <w:szCs w:val="24"/>
              </w:rPr>
              <w:t>Course</w:t>
            </w:r>
          </w:p>
        </w:tc>
        <w:tc>
          <w:tcPr>
            <w:tcW w:w="7308" w:type="dxa"/>
          </w:tcPr>
          <w:p w14:paraId="0822EE2C" w14:textId="044D3A5E" w:rsidR="00724751" w:rsidRDefault="00724751" w:rsidP="005F4428">
            <w:pPr>
              <w:jc w:val="center"/>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Student Learning Outcome</w:t>
            </w:r>
          </w:p>
        </w:tc>
      </w:tr>
      <w:tr w:rsidR="00724751" w14:paraId="790B22F5" w14:textId="77777777" w:rsidTr="0064521D">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1530" w:type="dxa"/>
          </w:tcPr>
          <w:p w14:paraId="105F91B2" w14:textId="77777777" w:rsidR="00724751" w:rsidRDefault="00724751" w:rsidP="005F4428">
            <w:pPr>
              <w:jc w:val="left"/>
              <w:rPr>
                <w:b/>
                <w:sz w:val="24"/>
                <w:szCs w:val="24"/>
              </w:rPr>
            </w:pPr>
            <w:r>
              <w:rPr>
                <w:b/>
                <w:sz w:val="24"/>
                <w:szCs w:val="24"/>
              </w:rPr>
              <w:t>ENGR 1100</w:t>
            </w:r>
          </w:p>
        </w:tc>
        <w:tc>
          <w:tcPr>
            <w:tcW w:w="7308" w:type="dxa"/>
            <w:shd w:val="clear" w:color="auto" w:fill="auto"/>
          </w:tcPr>
          <w:p w14:paraId="7B97827D" w14:textId="77777777" w:rsidR="00724751" w:rsidRPr="00D94AAE" w:rsidRDefault="00724751" w:rsidP="00724751">
            <w:pPr>
              <w:cnfStyle w:val="000000100000" w:firstRow="0" w:lastRow="0" w:firstColumn="0" w:lastColumn="0" w:oddVBand="0" w:evenVBand="0" w:oddHBand="1" w:evenHBand="0" w:firstRowFirstColumn="0" w:firstRowLastColumn="0" w:lastRowFirstColumn="0" w:lastRowLastColumn="0"/>
              <w:rPr>
                <w:rFonts w:cstheme="minorHAnsi"/>
              </w:rPr>
            </w:pPr>
            <w:r w:rsidRPr="00D94AAE">
              <w:rPr>
                <w:rFonts w:cstheme="minorHAnsi"/>
              </w:rPr>
              <w:t xml:space="preserve">By the end of this course, students will be able to: </w:t>
            </w:r>
          </w:p>
          <w:p w14:paraId="7E75EB0B"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Apply basic concepts of Linear Algebra for vector and matrix operations, </w:t>
            </w:r>
          </w:p>
          <w:p w14:paraId="0CC70C18"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Input vectors and matrices in MATLAB, </w:t>
            </w:r>
          </w:p>
          <w:p w14:paraId="4B27BB60"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Perform 2D and 3D plotting, </w:t>
            </w:r>
          </w:p>
          <w:p w14:paraId="4E4C36BA"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Formulate and solve systems of linear equations by Gaussian elimination, and matrix inversion, </w:t>
            </w:r>
          </w:p>
          <w:p w14:paraId="5CDC6A24"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Write conditional statements and loops, </w:t>
            </w:r>
          </w:p>
          <w:p w14:paraId="0EE0C87D"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Write Scripts and functions in MATLAB, </w:t>
            </w:r>
          </w:p>
          <w:p w14:paraId="60781BFB"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t xml:space="preserve">Solve some engineering problems using MATLAB, </w:t>
            </w:r>
          </w:p>
          <w:p w14:paraId="7AD64B57" w14:textId="77777777" w:rsidR="00724751" w:rsidRPr="0090473B" w:rsidRDefault="00724751" w:rsidP="0090473B">
            <w:pPr>
              <w:pStyle w:val="ListParagraph"/>
              <w:numPr>
                <w:ilvl w:val="0"/>
                <w:numId w:val="26"/>
              </w:numPr>
              <w:spacing w:after="7" w:line="249" w:lineRule="auto"/>
              <w:jc w:val="both"/>
              <w:cnfStyle w:val="000000100000" w:firstRow="0" w:lastRow="0" w:firstColumn="0" w:lastColumn="0" w:oddVBand="0" w:evenVBand="0" w:oddHBand="1" w:evenHBand="0" w:firstRowFirstColumn="0" w:firstRowLastColumn="0" w:lastRowFirstColumn="0" w:lastRowLastColumn="0"/>
              <w:rPr>
                <w:rFonts w:cstheme="minorHAnsi"/>
              </w:rPr>
            </w:pPr>
            <w:r w:rsidRPr="0090473B">
              <w:rPr>
                <w:rFonts w:cstheme="minorHAnsi"/>
              </w:rPr>
              <w:lastRenderedPageBreak/>
              <w:t xml:space="preserve">Apply the fundamental knowledge of mathematics, science &amp; engineering, to solve the real engineering problems (through case studies). </w:t>
            </w:r>
          </w:p>
          <w:p w14:paraId="3D651D06" w14:textId="185578DC" w:rsidR="00724751" w:rsidRPr="00DB52F1" w:rsidRDefault="00724751" w:rsidP="005F4428">
            <w:pPr>
              <w:jc w:val="center"/>
              <w:cnfStyle w:val="000000100000" w:firstRow="0" w:lastRow="0" w:firstColumn="0" w:lastColumn="0" w:oddVBand="0" w:evenVBand="0" w:oddHBand="1" w:evenHBand="0" w:firstRowFirstColumn="0" w:firstRowLastColumn="0" w:lastRowFirstColumn="0" w:lastRowLastColumn="0"/>
              <w:rPr>
                <w:bCs/>
                <w:sz w:val="24"/>
                <w:szCs w:val="24"/>
              </w:rPr>
            </w:pPr>
          </w:p>
        </w:tc>
      </w:tr>
      <w:tr w:rsidR="00724751" w14:paraId="27D46B9A" w14:textId="77777777" w:rsidTr="0090473B">
        <w:trPr>
          <w:trHeight w:val="275"/>
        </w:trPr>
        <w:tc>
          <w:tcPr>
            <w:cnfStyle w:val="001000000000" w:firstRow="0" w:lastRow="0" w:firstColumn="1" w:lastColumn="0" w:oddVBand="0" w:evenVBand="0" w:oddHBand="0" w:evenHBand="0" w:firstRowFirstColumn="0" w:firstRowLastColumn="0" w:lastRowFirstColumn="0" w:lastRowLastColumn="0"/>
            <w:tcW w:w="1530" w:type="dxa"/>
          </w:tcPr>
          <w:p w14:paraId="3B49085E" w14:textId="77777777" w:rsidR="00724751" w:rsidRDefault="00724751" w:rsidP="005F4428">
            <w:pPr>
              <w:jc w:val="left"/>
              <w:rPr>
                <w:b/>
                <w:sz w:val="24"/>
                <w:szCs w:val="24"/>
              </w:rPr>
            </w:pPr>
            <w:r>
              <w:rPr>
                <w:b/>
                <w:sz w:val="24"/>
                <w:szCs w:val="24"/>
              </w:rPr>
              <w:lastRenderedPageBreak/>
              <w:t>IET 4451</w:t>
            </w:r>
          </w:p>
        </w:tc>
        <w:tc>
          <w:tcPr>
            <w:tcW w:w="7308" w:type="dxa"/>
            <w:shd w:val="clear" w:color="auto" w:fill="auto"/>
          </w:tcPr>
          <w:p w14:paraId="331BCF3D" w14:textId="6B81D13E" w:rsidR="0090473B" w:rsidRPr="0090473B" w:rsidRDefault="0090473B" w:rsidP="0090473B">
            <w:pPr>
              <w:cnfStyle w:val="000000000000" w:firstRow="0" w:lastRow="0" w:firstColumn="0" w:lastColumn="0" w:oddVBand="0" w:evenVBand="0" w:oddHBand="0" w:evenHBand="0" w:firstRowFirstColumn="0" w:firstRowLastColumn="0" w:lastRowFirstColumn="0" w:lastRowLastColumn="0"/>
              <w:rPr>
                <w:rFonts w:cstheme="minorHAnsi"/>
              </w:rPr>
            </w:pPr>
            <w:r w:rsidRPr="00D94AAE">
              <w:rPr>
                <w:rFonts w:cstheme="minorHAnsi"/>
              </w:rPr>
              <w:t xml:space="preserve">By the end of this course, students will be able to: </w:t>
            </w:r>
          </w:p>
          <w:p w14:paraId="4B4C229B" w14:textId="29AB7E5F" w:rsidR="00E74AE2" w:rsidRPr="0090473B" w:rsidRDefault="00E74AE2" w:rsidP="0090473B">
            <w:pPr>
              <w:pStyle w:val="ListParagraph"/>
              <w:numPr>
                <w:ilvl w:val="0"/>
                <w:numId w:val="25"/>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90473B">
              <w:rPr>
                <w:rFonts w:eastAsia="Times New Roman" w:cstheme="minorHAnsi"/>
              </w:rPr>
              <w:t>Apply probability and statistics concepts to perform input data analysis, random variable generation, and output data analysis in simulation models.</w:t>
            </w:r>
          </w:p>
          <w:p w14:paraId="42D8848D" w14:textId="77777777" w:rsidR="00E74AE2" w:rsidRPr="0090473B" w:rsidRDefault="00E74AE2" w:rsidP="0090473B">
            <w:pPr>
              <w:pStyle w:val="ListParagraph"/>
              <w:numPr>
                <w:ilvl w:val="0"/>
                <w:numId w:val="25"/>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90473B">
              <w:rPr>
                <w:rFonts w:eastAsia="Times New Roman" w:cstheme="minorHAnsi"/>
              </w:rPr>
              <w:t>Illustrate complex, real-life industrial systems using computer simulation methods.</w:t>
            </w:r>
          </w:p>
          <w:p w14:paraId="0761F2D0" w14:textId="77777777" w:rsidR="00E74AE2" w:rsidRPr="0090473B" w:rsidRDefault="00E74AE2" w:rsidP="0090473B">
            <w:pPr>
              <w:pStyle w:val="ListParagraph"/>
              <w:numPr>
                <w:ilvl w:val="0"/>
                <w:numId w:val="25"/>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heme="minorHAnsi"/>
              </w:rPr>
            </w:pPr>
            <w:r w:rsidRPr="0090473B">
              <w:rPr>
                <w:rFonts w:eastAsia="Times New Roman" w:cstheme="minorHAnsi"/>
              </w:rPr>
              <w:t>Construct simulation models using advanced simulation software.</w:t>
            </w:r>
          </w:p>
          <w:p w14:paraId="7BD2BF42" w14:textId="2BBAA85D" w:rsidR="00724751" w:rsidRPr="0090473B" w:rsidRDefault="00E74AE2" w:rsidP="0090473B">
            <w:pPr>
              <w:pStyle w:val="ListParagraph"/>
              <w:numPr>
                <w:ilvl w:val="0"/>
                <w:numId w:val="25"/>
              </w:num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bCs/>
                <w:sz w:val="24"/>
                <w:szCs w:val="24"/>
              </w:rPr>
            </w:pPr>
            <w:r w:rsidRPr="0090473B">
              <w:rPr>
                <w:rFonts w:eastAsia="Times New Roman" w:cstheme="minorHAnsi"/>
              </w:rPr>
              <w:t>Discuss simulation results through written reports and oral presentations.</w:t>
            </w:r>
          </w:p>
        </w:tc>
      </w:tr>
    </w:tbl>
    <w:p w14:paraId="78AF1921" w14:textId="77777777" w:rsidR="00EB65AD" w:rsidRPr="00EB65AD" w:rsidRDefault="00EB65AD" w:rsidP="0090473B">
      <w:pPr>
        <w:rPr>
          <w:b/>
          <w:sz w:val="24"/>
          <w:szCs w:val="24"/>
        </w:rPr>
      </w:pPr>
    </w:p>
    <w:p w14:paraId="2107F97D" w14:textId="2FC17221" w:rsidR="00F70B70" w:rsidRPr="004F2656" w:rsidRDefault="00F70B70" w:rsidP="003F4D85">
      <w:pPr>
        <w:pStyle w:val="Heading1"/>
        <w:numPr>
          <w:ilvl w:val="0"/>
          <w:numId w:val="18"/>
        </w:numPr>
        <w:ind w:left="360"/>
      </w:pPr>
      <w:r w:rsidRPr="004F2656">
        <w:t>Sustainability Plan</w:t>
      </w:r>
    </w:p>
    <w:p w14:paraId="36C4BC5C" w14:textId="26E40F1F"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1624E12B" w14:textId="6D45A900" w:rsidR="00303811" w:rsidRPr="00303811" w:rsidRDefault="00303811" w:rsidP="003F4D85">
      <w:pPr>
        <w:ind w:left="360"/>
        <w:rPr>
          <w:iCs/>
          <w:sz w:val="24"/>
          <w:szCs w:val="24"/>
        </w:rPr>
      </w:pPr>
      <w:r>
        <w:rPr>
          <w:iCs/>
          <w:sz w:val="24"/>
          <w:szCs w:val="24"/>
        </w:rPr>
        <w:t>To ensure that no-cost learning material resources developed for these courses are sustainable, Dr. Li and Dr. Keyser both remain as the course coordinator a</w:t>
      </w:r>
      <w:r w:rsidR="001075E4">
        <w:rPr>
          <w:iCs/>
          <w:sz w:val="24"/>
          <w:szCs w:val="24"/>
        </w:rPr>
        <w:t xml:space="preserve">s well as the instructor-of-record. They will make continuous improvement on these courses as they teach, revise and update the course material each semester.  </w:t>
      </w:r>
      <w:r>
        <w:rPr>
          <w:iCs/>
          <w:sz w:val="24"/>
          <w:szCs w:val="24"/>
        </w:rPr>
        <w:t xml:space="preserve"> </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471534C"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2A954C79" w14:textId="2CE2C791" w:rsidR="001075E4" w:rsidRPr="001075E4" w:rsidRDefault="001075E4" w:rsidP="003F4D85">
      <w:pPr>
        <w:ind w:left="360"/>
        <w:rPr>
          <w:b/>
          <w:iCs/>
          <w:sz w:val="24"/>
          <w:szCs w:val="24"/>
        </w:rPr>
      </w:pPr>
      <w:r>
        <w:rPr>
          <w:iCs/>
          <w:sz w:val="24"/>
          <w:szCs w:val="24"/>
        </w:rPr>
        <w:t xml:space="preserve">The ALG project provides a rewarding experience for both the instructors as well as students. The positive feedback from students inspire faculty to investigate more opportunities of incorporating no-cost material in ISYE curriculum to better support students’ success.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30ECE4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3A0C7A5F" w14:textId="7B9285B8" w:rsidR="001075E4" w:rsidRPr="001075E4" w:rsidRDefault="0064521D" w:rsidP="003F4D85">
      <w:pPr>
        <w:ind w:left="360"/>
        <w:rPr>
          <w:b/>
          <w:iCs/>
          <w:sz w:val="24"/>
          <w:szCs w:val="24"/>
        </w:rPr>
      </w:pPr>
      <w:r>
        <w:rPr>
          <w:iCs/>
          <w:sz w:val="24"/>
          <w:szCs w:val="24"/>
        </w:rPr>
        <w:t>Dr. Li and Dr. Keyser are working on a paper “Investigating the effectiveness of no-cost learning material for ISYE courses” which will be submitted to an education journal soon.</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rsidSect="006C25C6">
      <w:footerReference w:type="even" r:id="rId15"/>
      <w:footerReference w:type="default" r:id="rId16"/>
      <w:pgSz w:w="12240" w:h="15840"/>
      <w:pgMar w:top="144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B9769" w14:textId="77777777" w:rsidR="002F3FFE" w:rsidRDefault="002F3FFE" w:rsidP="006C25C6">
      <w:pPr>
        <w:spacing w:after="0" w:line="240" w:lineRule="auto"/>
      </w:pPr>
      <w:r>
        <w:separator/>
      </w:r>
    </w:p>
  </w:endnote>
  <w:endnote w:type="continuationSeparator" w:id="0">
    <w:p w14:paraId="4B3A400C" w14:textId="77777777" w:rsidR="002F3FFE" w:rsidRDefault="002F3FFE" w:rsidP="006C2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18943604"/>
      <w:docPartObj>
        <w:docPartGallery w:val="Page Numbers (Bottom of Page)"/>
        <w:docPartUnique/>
      </w:docPartObj>
    </w:sdtPr>
    <w:sdtEndPr>
      <w:rPr>
        <w:rStyle w:val="PageNumber"/>
      </w:rPr>
    </w:sdtEndPr>
    <w:sdtContent>
      <w:p w14:paraId="5D1CBD5A" w14:textId="36B78C97" w:rsidR="006C25C6" w:rsidRDefault="006C25C6" w:rsidP="005E55F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B39A286" w14:textId="77777777" w:rsidR="006C25C6" w:rsidRDefault="006C2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3028792"/>
      <w:docPartObj>
        <w:docPartGallery w:val="Page Numbers (Bottom of Page)"/>
        <w:docPartUnique/>
      </w:docPartObj>
    </w:sdtPr>
    <w:sdtEndPr>
      <w:rPr>
        <w:rStyle w:val="PageNumber"/>
      </w:rPr>
    </w:sdtEndPr>
    <w:sdtContent>
      <w:p w14:paraId="0A656384" w14:textId="67BD68FD" w:rsidR="006C25C6" w:rsidRDefault="006C25C6" w:rsidP="005E55F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2971B625" w14:textId="77777777" w:rsidR="006C25C6" w:rsidRDefault="006C2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A7604" w14:textId="77777777" w:rsidR="002F3FFE" w:rsidRDefault="002F3FFE" w:rsidP="006C25C6">
      <w:pPr>
        <w:spacing w:after="0" w:line="240" w:lineRule="auto"/>
      </w:pPr>
      <w:r>
        <w:separator/>
      </w:r>
    </w:p>
  </w:footnote>
  <w:footnote w:type="continuationSeparator" w:id="0">
    <w:p w14:paraId="15F907D2" w14:textId="77777777" w:rsidR="002F3FFE" w:rsidRDefault="002F3FFE" w:rsidP="006C2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CC2320"/>
    <w:multiLevelType w:val="hybridMultilevel"/>
    <w:tmpl w:val="86304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95E6FEF"/>
    <w:multiLevelType w:val="hybridMultilevel"/>
    <w:tmpl w:val="F11C83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6A5272"/>
    <w:multiLevelType w:val="multilevel"/>
    <w:tmpl w:val="4498E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D1F36"/>
    <w:multiLevelType w:val="hybridMultilevel"/>
    <w:tmpl w:val="31E81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F06AB3"/>
    <w:multiLevelType w:val="hybridMultilevel"/>
    <w:tmpl w:val="4CF83ADE"/>
    <w:lvl w:ilvl="0" w:tplc="C95EAC8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E21196">
      <w:start w:val="1"/>
      <w:numFmt w:val="bullet"/>
      <w:lvlText w:val="o"/>
      <w:lvlJc w:val="left"/>
      <w:pPr>
        <w:ind w:left="10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5609BDC">
      <w:start w:val="1"/>
      <w:numFmt w:val="bullet"/>
      <w:lvlText w:val="▪"/>
      <w:lvlJc w:val="left"/>
      <w:pPr>
        <w:ind w:left="18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ACE9F02">
      <w:start w:val="1"/>
      <w:numFmt w:val="bullet"/>
      <w:lvlText w:val="•"/>
      <w:lvlJc w:val="left"/>
      <w:pPr>
        <w:ind w:left="2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0863EC">
      <w:start w:val="1"/>
      <w:numFmt w:val="bullet"/>
      <w:lvlText w:val="o"/>
      <w:lvlJc w:val="left"/>
      <w:pPr>
        <w:ind w:left="32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74AC826">
      <w:start w:val="1"/>
      <w:numFmt w:val="bullet"/>
      <w:lvlText w:val="▪"/>
      <w:lvlJc w:val="left"/>
      <w:pPr>
        <w:ind w:left="39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1A658B4">
      <w:start w:val="1"/>
      <w:numFmt w:val="bullet"/>
      <w:lvlText w:val="•"/>
      <w:lvlJc w:val="left"/>
      <w:pPr>
        <w:ind w:left="46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785494">
      <w:start w:val="1"/>
      <w:numFmt w:val="bullet"/>
      <w:lvlText w:val="o"/>
      <w:lvlJc w:val="left"/>
      <w:pPr>
        <w:ind w:left="54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F685EE">
      <w:start w:val="1"/>
      <w:numFmt w:val="bullet"/>
      <w:lvlText w:val="▪"/>
      <w:lvlJc w:val="left"/>
      <w:pPr>
        <w:ind w:left="61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756A78"/>
    <w:multiLevelType w:val="multilevel"/>
    <w:tmpl w:val="9E246D88"/>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6B0C0242"/>
    <w:multiLevelType w:val="hybridMultilevel"/>
    <w:tmpl w:val="79F89E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21"/>
  </w:num>
  <w:num w:numId="4">
    <w:abstractNumId w:val="18"/>
  </w:num>
  <w:num w:numId="5">
    <w:abstractNumId w:val="7"/>
  </w:num>
  <w:num w:numId="6">
    <w:abstractNumId w:val="8"/>
  </w:num>
  <w:num w:numId="7">
    <w:abstractNumId w:val="4"/>
  </w:num>
  <w:num w:numId="8">
    <w:abstractNumId w:val="11"/>
  </w:num>
  <w:num w:numId="9">
    <w:abstractNumId w:val="3"/>
  </w:num>
  <w:num w:numId="10">
    <w:abstractNumId w:val="16"/>
  </w:num>
  <w:num w:numId="11">
    <w:abstractNumId w:val="2"/>
  </w:num>
  <w:num w:numId="12">
    <w:abstractNumId w:val="17"/>
  </w:num>
  <w:num w:numId="13">
    <w:abstractNumId w:val="19"/>
  </w:num>
  <w:num w:numId="14">
    <w:abstractNumId w:val="15"/>
  </w:num>
  <w:num w:numId="15">
    <w:abstractNumId w:val="5"/>
  </w:num>
  <w:num w:numId="16">
    <w:abstractNumId w:val="24"/>
  </w:num>
  <w:num w:numId="17">
    <w:abstractNumId w:val="13"/>
  </w:num>
  <w:num w:numId="18">
    <w:abstractNumId w:val="25"/>
  </w:num>
  <w:num w:numId="19">
    <w:abstractNumId w:val="0"/>
  </w:num>
  <w:num w:numId="20">
    <w:abstractNumId w:val="6"/>
  </w:num>
  <w:num w:numId="21">
    <w:abstractNumId w:val="23"/>
  </w:num>
  <w:num w:numId="22">
    <w:abstractNumId w:val="12"/>
  </w:num>
  <w:num w:numId="23">
    <w:abstractNumId w:val="9"/>
  </w:num>
  <w:num w:numId="24">
    <w:abstractNumId w:val="22"/>
  </w:num>
  <w:num w:numId="25">
    <w:abstractNumId w:val="1"/>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075E4"/>
    <w:rsid w:val="00190A51"/>
    <w:rsid w:val="001A218C"/>
    <w:rsid w:val="001B2107"/>
    <w:rsid w:val="001B5F9A"/>
    <w:rsid w:val="001D51FD"/>
    <w:rsid w:val="001E0EE3"/>
    <w:rsid w:val="001F4532"/>
    <w:rsid w:val="00220876"/>
    <w:rsid w:val="00240544"/>
    <w:rsid w:val="00250887"/>
    <w:rsid w:val="00285B86"/>
    <w:rsid w:val="002F3FFE"/>
    <w:rsid w:val="00303811"/>
    <w:rsid w:val="003038A8"/>
    <w:rsid w:val="003070F9"/>
    <w:rsid w:val="0033401E"/>
    <w:rsid w:val="00346044"/>
    <w:rsid w:val="003B72E9"/>
    <w:rsid w:val="003E1BCB"/>
    <w:rsid w:val="003E2FF0"/>
    <w:rsid w:val="003F4D85"/>
    <w:rsid w:val="004064E9"/>
    <w:rsid w:val="00415B94"/>
    <w:rsid w:val="0043450F"/>
    <w:rsid w:val="00471C68"/>
    <w:rsid w:val="0048459F"/>
    <w:rsid w:val="004D6BBA"/>
    <w:rsid w:val="004F2656"/>
    <w:rsid w:val="005212A0"/>
    <w:rsid w:val="005267D3"/>
    <w:rsid w:val="005A19A1"/>
    <w:rsid w:val="005C11E8"/>
    <w:rsid w:val="005F5755"/>
    <w:rsid w:val="00615648"/>
    <w:rsid w:val="00630263"/>
    <w:rsid w:val="00636463"/>
    <w:rsid w:val="0064521D"/>
    <w:rsid w:val="00684A25"/>
    <w:rsid w:val="00687254"/>
    <w:rsid w:val="006971A1"/>
    <w:rsid w:val="006A36A9"/>
    <w:rsid w:val="006C25C6"/>
    <w:rsid w:val="00724751"/>
    <w:rsid w:val="0073273B"/>
    <w:rsid w:val="00772C9F"/>
    <w:rsid w:val="00811187"/>
    <w:rsid w:val="008572A9"/>
    <w:rsid w:val="00871BC4"/>
    <w:rsid w:val="0090473B"/>
    <w:rsid w:val="00907E8F"/>
    <w:rsid w:val="0091392E"/>
    <w:rsid w:val="00945780"/>
    <w:rsid w:val="0097575D"/>
    <w:rsid w:val="00987DD6"/>
    <w:rsid w:val="009D3BDE"/>
    <w:rsid w:val="00A06E45"/>
    <w:rsid w:val="00A65389"/>
    <w:rsid w:val="00AF4890"/>
    <w:rsid w:val="00B21452"/>
    <w:rsid w:val="00B32586"/>
    <w:rsid w:val="00B516BC"/>
    <w:rsid w:val="00B73E76"/>
    <w:rsid w:val="00B90CC8"/>
    <w:rsid w:val="00BF3C8A"/>
    <w:rsid w:val="00C45872"/>
    <w:rsid w:val="00C66162"/>
    <w:rsid w:val="00C749E5"/>
    <w:rsid w:val="00C76B36"/>
    <w:rsid w:val="00C807D1"/>
    <w:rsid w:val="00C80819"/>
    <w:rsid w:val="00C96BCC"/>
    <w:rsid w:val="00CB083C"/>
    <w:rsid w:val="00D11976"/>
    <w:rsid w:val="00DB52F1"/>
    <w:rsid w:val="00DC2BFF"/>
    <w:rsid w:val="00DD3803"/>
    <w:rsid w:val="00DD5245"/>
    <w:rsid w:val="00DE380A"/>
    <w:rsid w:val="00DF79E1"/>
    <w:rsid w:val="00E165C0"/>
    <w:rsid w:val="00E167BE"/>
    <w:rsid w:val="00E34FAA"/>
    <w:rsid w:val="00E74AE2"/>
    <w:rsid w:val="00EB65AD"/>
    <w:rsid w:val="00EE35AB"/>
    <w:rsid w:val="00EE7C7E"/>
    <w:rsid w:val="00F125D6"/>
    <w:rsid w:val="00F1624D"/>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table" w:styleId="PlainTable3">
    <w:name w:val="Plain Table 3"/>
    <w:basedOn w:val="TableNormal"/>
    <w:uiPriority w:val="99"/>
    <w:rsid w:val="0043450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1">
    <w:name w:val="Grid Table 1 Light Accent 1"/>
    <w:basedOn w:val="TableNormal"/>
    <w:uiPriority w:val="46"/>
    <w:rsid w:val="0043450F"/>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43450F"/>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3-Accent1">
    <w:name w:val="Grid Table 3 Accent 1"/>
    <w:basedOn w:val="TableNormal"/>
    <w:uiPriority w:val="48"/>
    <w:rsid w:val="0043450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Footer">
    <w:name w:val="footer"/>
    <w:basedOn w:val="Normal"/>
    <w:link w:val="FooterChar"/>
    <w:uiPriority w:val="99"/>
    <w:unhideWhenUsed/>
    <w:rsid w:val="006C2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5C6"/>
  </w:style>
  <w:style w:type="character" w:styleId="PageNumber">
    <w:name w:val="page number"/>
    <w:basedOn w:val="DefaultParagraphFont"/>
    <w:uiPriority w:val="99"/>
    <w:semiHidden/>
    <w:unhideWhenUsed/>
    <w:rsid w:val="006C2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han9@kennessaw.ed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rkeyser@kennesaw.ed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li19@kennesaw.edu"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affordablelearninggeorgia.org/site/final_report_submiss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lg.manifoldap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2090</Words>
  <Characters>11915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Lin Li</cp:lastModifiedBy>
  <cp:revision>2</cp:revision>
  <dcterms:created xsi:type="dcterms:W3CDTF">2021-05-14T01:27:00Z</dcterms:created>
  <dcterms:modified xsi:type="dcterms:W3CDTF">2021-05-14T01:27:00Z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