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r w:rsidR="00AF4890" w:rsidRPr="003F4D85">
        <w:rPr>
          <w:iCs/>
          <w:sz w:val="24"/>
          <w:szCs w:val="24"/>
        </w:rPr>
        <w:t>http://affordablelearninggeorgia.org/site/final_report_submission</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87A382E" w:rsidR="00687254" w:rsidRDefault="00687254" w:rsidP="00687254">
      <w:pPr>
        <w:ind w:left="360"/>
        <w:rPr>
          <w:b/>
          <w:sz w:val="24"/>
          <w:szCs w:val="24"/>
        </w:rPr>
      </w:pPr>
      <w:r w:rsidRPr="004F2656">
        <w:rPr>
          <w:b/>
          <w:sz w:val="24"/>
          <w:szCs w:val="24"/>
        </w:rPr>
        <w:t>Date</w:t>
      </w:r>
      <w:r w:rsidR="003E1BCB" w:rsidRPr="004F2656">
        <w:rPr>
          <w:b/>
          <w:sz w:val="24"/>
          <w:szCs w:val="24"/>
        </w:rPr>
        <w:t>:</w:t>
      </w:r>
      <w:r w:rsidR="00B242D9">
        <w:rPr>
          <w:b/>
          <w:sz w:val="24"/>
          <w:szCs w:val="24"/>
        </w:rPr>
        <w:t xml:space="preserve">  August 14, 2020</w:t>
      </w:r>
    </w:p>
    <w:p w14:paraId="1CB2C16B" w14:textId="50495407" w:rsidR="0033401E" w:rsidRPr="004F2656" w:rsidRDefault="0033401E" w:rsidP="00687254">
      <w:pPr>
        <w:ind w:left="360"/>
        <w:rPr>
          <w:b/>
          <w:sz w:val="24"/>
          <w:szCs w:val="24"/>
        </w:rPr>
      </w:pPr>
      <w:r>
        <w:rPr>
          <w:b/>
          <w:sz w:val="24"/>
          <w:szCs w:val="24"/>
        </w:rPr>
        <w:t>Grant Round:</w:t>
      </w:r>
      <w:r w:rsidR="00B242D9">
        <w:rPr>
          <w:b/>
          <w:sz w:val="24"/>
          <w:szCs w:val="24"/>
        </w:rPr>
        <w:t xml:space="preserve">  15</w:t>
      </w:r>
    </w:p>
    <w:p w14:paraId="41045492" w14:textId="73F624E6"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B94858">
        <w:rPr>
          <w:b/>
          <w:sz w:val="24"/>
          <w:szCs w:val="24"/>
        </w:rPr>
        <w:t xml:space="preserve">  #369-499</w:t>
      </w:r>
    </w:p>
    <w:p w14:paraId="65C4B013" w14:textId="204F041A"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B242D9">
        <w:rPr>
          <w:b/>
          <w:sz w:val="24"/>
          <w:szCs w:val="24"/>
        </w:rPr>
        <w:t xml:space="preserve">  Savannah State University</w:t>
      </w:r>
    </w:p>
    <w:p w14:paraId="28FD8E6E" w14:textId="173FE7FC" w:rsidR="0033401E" w:rsidRPr="004F2656" w:rsidRDefault="0033401E" w:rsidP="0033401E">
      <w:pPr>
        <w:ind w:left="360"/>
        <w:rPr>
          <w:b/>
          <w:sz w:val="24"/>
          <w:szCs w:val="24"/>
        </w:rPr>
      </w:pPr>
      <w:r w:rsidRPr="004F2656">
        <w:rPr>
          <w:b/>
          <w:sz w:val="24"/>
          <w:szCs w:val="24"/>
        </w:rPr>
        <w:t>Project Lead:</w:t>
      </w:r>
      <w:r w:rsidR="00B242D9">
        <w:rPr>
          <w:b/>
          <w:sz w:val="24"/>
          <w:szCs w:val="24"/>
        </w:rPr>
        <w:t xml:space="preserve">  Samuel </w:t>
      </w:r>
      <w:proofErr w:type="spellStart"/>
      <w:r w:rsidR="00B242D9">
        <w:rPr>
          <w:b/>
          <w:sz w:val="24"/>
          <w:szCs w:val="24"/>
        </w:rPr>
        <w:t>Dolo</w:t>
      </w:r>
      <w:proofErr w:type="spellEnd"/>
    </w:p>
    <w:p w14:paraId="6A7C5B5B" w14:textId="35532BB8"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B242D9">
        <w:rPr>
          <w:b/>
          <w:sz w:val="24"/>
          <w:szCs w:val="24"/>
        </w:rPr>
        <w:t xml:space="preserve">  </w:t>
      </w:r>
      <w:proofErr w:type="spellStart"/>
      <w:r w:rsidR="00B242D9">
        <w:rPr>
          <w:b/>
          <w:sz w:val="24"/>
          <w:szCs w:val="24"/>
        </w:rPr>
        <w:t>Talihun</w:t>
      </w:r>
      <w:proofErr w:type="spellEnd"/>
      <w:r w:rsidR="00B242D9">
        <w:rPr>
          <w:b/>
          <w:sz w:val="24"/>
          <w:szCs w:val="24"/>
        </w:rPr>
        <w:t xml:space="preserve"> </w:t>
      </w:r>
      <w:proofErr w:type="spellStart"/>
      <w:r w:rsidR="00B242D9">
        <w:rPr>
          <w:b/>
          <w:sz w:val="24"/>
          <w:szCs w:val="24"/>
        </w:rPr>
        <w:t>Muche</w:t>
      </w:r>
      <w:proofErr w:type="spellEnd"/>
      <w:r w:rsidR="00B242D9">
        <w:rPr>
          <w:b/>
          <w:sz w:val="24"/>
          <w:szCs w:val="24"/>
        </w:rPr>
        <w:t>, Associate Professor of Mathematics</w:t>
      </w:r>
    </w:p>
    <w:p w14:paraId="52C10670" w14:textId="4052F099" w:rsidR="00B242D9" w:rsidRPr="004F2656" w:rsidRDefault="00B242D9" w:rsidP="00687254">
      <w:pPr>
        <w:ind w:left="360"/>
        <w:rPr>
          <w:b/>
          <w:sz w:val="24"/>
          <w:szCs w:val="24"/>
        </w:rPr>
      </w:pPr>
      <w:r>
        <w:rPr>
          <w:b/>
          <w:sz w:val="24"/>
          <w:szCs w:val="24"/>
        </w:rPr>
        <w:t xml:space="preserve">             Samuel Dolo, Professor of Mathematics</w:t>
      </w:r>
    </w:p>
    <w:p w14:paraId="46A62745" w14:textId="37C750EA"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B242D9">
        <w:rPr>
          <w:b/>
          <w:sz w:val="24"/>
          <w:szCs w:val="24"/>
        </w:rPr>
        <w:t xml:space="preserve">  MATH 1111 – College Algebra</w:t>
      </w:r>
    </w:p>
    <w:p w14:paraId="3E617D79" w14:textId="2FE781EA"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B242D9">
        <w:rPr>
          <w:b/>
          <w:sz w:val="24"/>
          <w:szCs w:val="24"/>
        </w:rPr>
        <w:t xml:space="preserve">  Fall 2019</w:t>
      </w:r>
    </w:p>
    <w:p w14:paraId="4D2A60B3" w14:textId="43E05D79"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B242D9">
        <w:rPr>
          <w:b/>
          <w:sz w:val="24"/>
          <w:szCs w:val="24"/>
        </w:rPr>
        <w:t>:  Fall 2020</w:t>
      </w:r>
    </w:p>
    <w:p w14:paraId="6AA64C08" w14:textId="4EA4C161"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B242D9">
        <w:rPr>
          <w:b/>
          <w:sz w:val="24"/>
          <w:szCs w:val="24"/>
        </w:rPr>
        <w:t xml:space="preserve">  </w:t>
      </w:r>
      <w:r w:rsidR="00220718">
        <w:rPr>
          <w:b/>
          <w:sz w:val="24"/>
          <w:szCs w:val="24"/>
        </w:rPr>
        <w:t>5</w:t>
      </w:r>
      <w:r w:rsidR="00A33EC1">
        <w:rPr>
          <w:b/>
          <w:sz w:val="24"/>
          <w:szCs w:val="24"/>
        </w:rPr>
        <w:t>37</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220E04FB"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0EE1E6FB" w14:textId="0B66DDD7" w:rsidR="00512BCD" w:rsidRDefault="00512BCD" w:rsidP="00512BCD">
      <w:pPr>
        <w:pStyle w:val="ListParagraph"/>
        <w:rPr>
          <w:i/>
          <w:iCs/>
          <w:sz w:val="24"/>
          <w:szCs w:val="24"/>
        </w:rPr>
      </w:pPr>
    </w:p>
    <w:p w14:paraId="31C4DC06" w14:textId="4DF82488" w:rsidR="00563669" w:rsidRDefault="005D28CD" w:rsidP="00512BCD">
      <w:pPr>
        <w:pStyle w:val="ListParagraph"/>
      </w:pPr>
      <w:r>
        <w:t xml:space="preserve">The broad focus for our project was to find a product (course material) that would provide adequate opportunities to motivate our students to solve problems by presenting them with an adequate number of worked out problems in the form of video.  More specifically, we sought to do the following:  come up with a no-cost product that is user friendly, come up with a no-cost product that </w:t>
      </w:r>
      <w:r w:rsidR="007752E5">
        <w:t>possesses a large test bank</w:t>
      </w:r>
      <w:r w:rsidR="006639BA">
        <w:t xml:space="preserve"> (</w:t>
      </w:r>
      <w:r w:rsidR="00BC7B15">
        <w:t xml:space="preserve">access to </w:t>
      </w:r>
      <w:r w:rsidR="006639BA">
        <w:t>large data base</w:t>
      </w:r>
      <w:r w:rsidR="00BC7B15">
        <w:t xml:space="preserve"> questions</w:t>
      </w:r>
      <w:r w:rsidR="006639BA">
        <w:t>)</w:t>
      </w:r>
      <w:r w:rsidR="007752E5">
        <w:t xml:space="preserve">, </w:t>
      </w:r>
      <w:r w:rsidR="006639BA">
        <w:t>come up with a no-cost product (software) with links to the e-book, come up with a no-cost product that allows the instructors to edit (rem</w:t>
      </w:r>
      <w:r w:rsidR="00BC7B15">
        <w:t xml:space="preserve">ove, add, and modify) questions, and come up with a no-cost product </w:t>
      </w:r>
      <w:r w:rsidR="00563669">
        <w:t xml:space="preserve">that has a good communication system feature (email, instant chat, etc..).  </w:t>
      </w:r>
      <w:r w:rsidR="00563669">
        <w:t xml:space="preserve">The grant did enable us to research for the appropriate no-cost textbook for our students via the Affordable Learning Georgia links.  Our search yielded a no-cost textbook titled ‘Algebra and Trigonometry’, by Jay Abramson:  </w:t>
      </w:r>
      <w:hyperlink r:id="rId9" w:history="1">
        <w:r w:rsidR="00563669">
          <w:rPr>
            <w:rStyle w:val="Hyperlink"/>
          </w:rPr>
          <w:t>https://openstax.org/details/books/algebra-and-trigonometry</w:t>
        </w:r>
      </w:hyperlink>
      <w:r w:rsidR="00563669">
        <w:t>) that displays all of the characteristics and features that are outlined in the course syllabus.  We presented and recommended our selection to the department education and curriculum committee for further analysis and adoption and the committee agreed to adopt the recommended no-cost textbook for the 2019 -2020 academic year and 2020 – 2021 academic year.   T</w:t>
      </w:r>
      <w:r w:rsidR="00563669" w:rsidRPr="00F627A0">
        <w:t xml:space="preserve">he </w:t>
      </w:r>
      <w:r w:rsidR="00563669">
        <w:t>data indicate that since the adoption or implementations of the no-cost textbook along with the course redesign strategies, the failure rate of College Algebra at Savannah State University has been minimized to an acceptable range of at most 20%.  In Spring 2021, the department will reevaluate the impact of the no-cost textbook and course redesign initiative.  We are confident that the reevaluation will yield a positive result and that the current program will continue through future academic years.</w:t>
      </w:r>
      <w:r w:rsidR="00563669">
        <w:t xml:space="preserve">  </w:t>
      </w:r>
      <w:r w:rsidR="00412003">
        <w:t xml:space="preserve">Having said that, there are some challenges </w:t>
      </w:r>
      <w:r w:rsidR="00D943ED">
        <w:t xml:space="preserve">(that are not too vital) </w:t>
      </w:r>
      <w:r w:rsidR="00412003">
        <w:t xml:space="preserve">associated with our selected product and they </w:t>
      </w:r>
      <w:r w:rsidR="00D943ED">
        <w:t xml:space="preserve">include:  other libraries cannot be inputted in a convenient manner, and the dashboard is not user friendly.  </w:t>
      </w:r>
    </w:p>
    <w:p w14:paraId="3514960C" w14:textId="26E4C777" w:rsidR="005D28CD" w:rsidRDefault="005D28CD" w:rsidP="00512BCD">
      <w:pPr>
        <w:pStyle w:val="ListParagraph"/>
      </w:pPr>
      <w:r>
        <w:t xml:space="preserve"> </w:t>
      </w:r>
    </w:p>
    <w:p w14:paraId="6C0C97C4" w14:textId="5CF1B80A" w:rsidR="00512BCD" w:rsidRDefault="0020625C" w:rsidP="00512BCD">
      <w:pPr>
        <w:pStyle w:val="ListParagraph"/>
      </w:pPr>
      <w:r>
        <w:t>With regards to the transformative impacts that the project had on students and their performance, it important to note that we incorporated our project with the department of math College Algebra Redesign initiative</w:t>
      </w:r>
      <w:r w:rsidR="00835A29">
        <w:t>.  The MATH 1111 (College Algebra) Redesign Program’s goal was to strategize and minimize the high failure rate (D and F) of course, and we thought it would be prudent that one of the strategies in minimizing the high failure rate of the course would be the adoption of a no-cost textbook for the course.  We are therefore proud to state that the</w:t>
      </w:r>
      <w:r w:rsidR="00512BCD">
        <w:t xml:space="preserve"> college algebra redesign initiative (at Savannah State University) enhanced by the adoption of an excellent no-cost textbook through the Affordable Learning Georgia Grant </w:t>
      </w:r>
      <w:r w:rsidR="00512BCD">
        <w:lastRenderedPageBreak/>
        <w:t xml:space="preserve">Program appears to have helped reverse the high failure rate </w:t>
      </w:r>
      <w:r w:rsidR="00512BCD">
        <w:t xml:space="preserve">(D and F grades) </w:t>
      </w:r>
      <w:r w:rsidR="00512BCD">
        <w:t>associated with College Algebra at Savannah State University in recent years, and the findings regarding the DFI rates are summarized in the following table:</w:t>
      </w:r>
    </w:p>
    <w:tbl>
      <w:tblPr>
        <w:tblStyle w:val="TableGrid"/>
        <w:tblW w:w="0" w:type="auto"/>
        <w:tblInd w:w="355" w:type="dxa"/>
        <w:tblLook w:val="04A0" w:firstRow="1" w:lastRow="0" w:firstColumn="1" w:lastColumn="0" w:noHBand="0" w:noVBand="1"/>
      </w:tblPr>
      <w:tblGrid>
        <w:gridCol w:w="1890"/>
        <w:gridCol w:w="456"/>
        <w:gridCol w:w="576"/>
        <w:gridCol w:w="498"/>
        <w:gridCol w:w="816"/>
        <w:gridCol w:w="340"/>
        <w:gridCol w:w="1260"/>
        <w:gridCol w:w="1350"/>
        <w:gridCol w:w="1539"/>
      </w:tblGrid>
      <w:tr w:rsidR="001A5B06" w14:paraId="41ED5031" w14:textId="77777777" w:rsidTr="00EB7B24">
        <w:tc>
          <w:tcPr>
            <w:tcW w:w="8539" w:type="dxa"/>
            <w:gridSpan w:val="9"/>
          </w:tcPr>
          <w:p w14:paraId="6BBCB80A" w14:textId="77777777" w:rsidR="001A5B06" w:rsidRPr="00A17A26" w:rsidRDefault="001A5B06" w:rsidP="00EB7B24">
            <w:pPr>
              <w:jc w:val="center"/>
              <w:rPr>
                <w:rFonts w:cstheme="minorHAnsi"/>
                <w:b/>
                <w:sz w:val="28"/>
                <w:szCs w:val="28"/>
              </w:rPr>
            </w:pPr>
            <w:r w:rsidRPr="00A17A26">
              <w:rPr>
                <w:rFonts w:cstheme="minorHAnsi"/>
                <w:b/>
                <w:sz w:val="28"/>
                <w:szCs w:val="28"/>
              </w:rPr>
              <w:t>Note:  “Pass” in the table represents either ‘A’ or ‘B’ or ‘C’ grade</w:t>
            </w:r>
          </w:p>
        </w:tc>
      </w:tr>
      <w:tr w:rsidR="001A5B06" w14:paraId="19A630EC" w14:textId="77777777" w:rsidTr="00EB7B24">
        <w:tc>
          <w:tcPr>
            <w:tcW w:w="8539" w:type="dxa"/>
            <w:gridSpan w:val="9"/>
          </w:tcPr>
          <w:p w14:paraId="482A4BAE" w14:textId="77777777" w:rsidR="001A5B06" w:rsidRPr="0014066C" w:rsidRDefault="001A5B06" w:rsidP="00EB7B24">
            <w:pPr>
              <w:pStyle w:val="ListParagraph"/>
              <w:ind w:left="1440"/>
              <w:rPr>
                <w:rFonts w:cstheme="minorHAnsi"/>
                <w:b/>
                <w:sz w:val="28"/>
                <w:szCs w:val="28"/>
              </w:rPr>
            </w:pPr>
            <w:r>
              <w:rPr>
                <w:rFonts w:cstheme="minorHAnsi"/>
                <w:b/>
                <w:sz w:val="28"/>
                <w:szCs w:val="28"/>
              </w:rPr>
              <w:t>+ Represents pre No-cost textbook semester data</w:t>
            </w:r>
          </w:p>
        </w:tc>
      </w:tr>
      <w:tr w:rsidR="001A5B06" w14:paraId="46669EF9" w14:textId="77777777" w:rsidTr="00EB7B24">
        <w:tc>
          <w:tcPr>
            <w:tcW w:w="8539" w:type="dxa"/>
            <w:gridSpan w:val="9"/>
          </w:tcPr>
          <w:p w14:paraId="17AF97FE" w14:textId="77777777" w:rsidR="001A5B06" w:rsidRDefault="001A5B06" w:rsidP="00EB7B24">
            <w:pPr>
              <w:pStyle w:val="ListParagraph"/>
              <w:ind w:left="1440"/>
              <w:rPr>
                <w:rFonts w:cstheme="minorHAnsi"/>
                <w:b/>
                <w:sz w:val="28"/>
                <w:szCs w:val="28"/>
              </w:rPr>
            </w:pPr>
            <w:r>
              <w:rPr>
                <w:rFonts w:cstheme="minorHAnsi"/>
                <w:b/>
                <w:sz w:val="28"/>
                <w:szCs w:val="28"/>
              </w:rPr>
              <w:t>++ Represents post No-cost textbook semester data</w:t>
            </w:r>
          </w:p>
        </w:tc>
      </w:tr>
      <w:tr w:rsidR="001A5B06" w14:paraId="5BAE2F4B" w14:textId="77777777" w:rsidTr="00EB7B24">
        <w:tc>
          <w:tcPr>
            <w:tcW w:w="8539" w:type="dxa"/>
            <w:gridSpan w:val="9"/>
          </w:tcPr>
          <w:p w14:paraId="69ED9D08" w14:textId="77777777" w:rsidR="001A5B06" w:rsidRDefault="001A5B06" w:rsidP="00EB7B24">
            <w:pPr>
              <w:pStyle w:val="ListParagraph"/>
              <w:ind w:left="1440"/>
              <w:rPr>
                <w:rFonts w:cstheme="minorHAnsi"/>
                <w:b/>
                <w:sz w:val="28"/>
                <w:szCs w:val="28"/>
              </w:rPr>
            </w:pPr>
          </w:p>
        </w:tc>
      </w:tr>
      <w:tr w:rsidR="001A5B06" w14:paraId="2FDDAF8E" w14:textId="77777777" w:rsidTr="00EB7B24">
        <w:tc>
          <w:tcPr>
            <w:tcW w:w="8539" w:type="dxa"/>
            <w:gridSpan w:val="9"/>
          </w:tcPr>
          <w:p w14:paraId="445945F5" w14:textId="77777777" w:rsidR="001A5B06" w:rsidRPr="00A17A26" w:rsidRDefault="001A5B06" w:rsidP="00EB7B24">
            <w:pPr>
              <w:jc w:val="center"/>
              <w:rPr>
                <w:rFonts w:cstheme="minorHAnsi"/>
                <w:b/>
                <w:sz w:val="40"/>
                <w:szCs w:val="40"/>
              </w:rPr>
            </w:pPr>
            <w:r w:rsidRPr="00A17A26">
              <w:rPr>
                <w:rFonts w:cstheme="minorHAnsi"/>
                <w:b/>
                <w:sz w:val="40"/>
                <w:szCs w:val="40"/>
              </w:rPr>
              <w:t>MATH 1111 (College Algebra)</w:t>
            </w:r>
          </w:p>
        </w:tc>
      </w:tr>
      <w:tr w:rsidR="001A5B06" w14:paraId="651F548D" w14:textId="77777777" w:rsidTr="00EB7B24">
        <w:tc>
          <w:tcPr>
            <w:tcW w:w="1890" w:type="dxa"/>
          </w:tcPr>
          <w:p w14:paraId="66A4B579" w14:textId="77777777" w:rsidR="001A5B06" w:rsidRPr="00A17A26" w:rsidRDefault="001A5B06" w:rsidP="00EB7B24">
            <w:pPr>
              <w:jc w:val="center"/>
              <w:rPr>
                <w:rFonts w:cstheme="minorHAnsi"/>
                <w:b/>
                <w:sz w:val="28"/>
                <w:szCs w:val="28"/>
              </w:rPr>
            </w:pPr>
            <w:r w:rsidRPr="00A17A26">
              <w:rPr>
                <w:rFonts w:cstheme="minorHAnsi"/>
                <w:b/>
                <w:sz w:val="28"/>
                <w:szCs w:val="28"/>
              </w:rPr>
              <w:t>Year</w:t>
            </w:r>
          </w:p>
        </w:tc>
        <w:tc>
          <w:tcPr>
            <w:tcW w:w="456" w:type="dxa"/>
          </w:tcPr>
          <w:p w14:paraId="57D2C975" w14:textId="77777777" w:rsidR="001A5B06" w:rsidRPr="00A17A26" w:rsidRDefault="001A5B06" w:rsidP="00EB7B24">
            <w:pPr>
              <w:jc w:val="center"/>
              <w:rPr>
                <w:rFonts w:cstheme="minorHAnsi"/>
                <w:b/>
                <w:sz w:val="28"/>
                <w:szCs w:val="28"/>
              </w:rPr>
            </w:pPr>
            <w:r w:rsidRPr="00A17A26">
              <w:rPr>
                <w:rFonts w:cstheme="minorHAnsi"/>
                <w:b/>
                <w:sz w:val="28"/>
                <w:szCs w:val="28"/>
              </w:rPr>
              <w:t>D</w:t>
            </w:r>
          </w:p>
        </w:tc>
        <w:tc>
          <w:tcPr>
            <w:tcW w:w="576" w:type="dxa"/>
          </w:tcPr>
          <w:p w14:paraId="4C8779ED" w14:textId="77777777" w:rsidR="001A5B06" w:rsidRPr="00A17A26" w:rsidRDefault="001A5B06" w:rsidP="00EB7B24">
            <w:pPr>
              <w:jc w:val="center"/>
              <w:rPr>
                <w:rFonts w:cstheme="minorHAnsi"/>
                <w:b/>
                <w:sz w:val="28"/>
                <w:szCs w:val="28"/>
              </w:rPr>
            </w:pPr>
            <w:r w:rsidRPr="00A17A26">
              <w:rPr>
                <w:rFonts w:cstheme="minorHAnsi"/>
                <w:b/>
                <w:sz w:val="28"/>
                <w:szCs w:val="28"/>
              </w:rPr>
              <w:t>F</w:t>
            </w:r>
          </w:p>
        </w:tc>
        <w:tc>
          <w:tcPr>
            <w:tcW w:w="498" w:type="dxa"/>
          </w:tcPr>
          <w:p w14:paraId="045D4C92" w14:textId="77777777" w:rsidR="001A5B06" w:rsidRPr="00A17A26" w:rsidRDefault="001A5B06" w:rsidP="00EB7B24">
            <w:pPr>
              <w:jc w:val="center"/>
              <w:rPr>
                <w:rFonts w:cstheme="minorHAnsi"/>
                <w:b/>
                <w:sz w:val="28"/>
                <w:szCs w:val="28"/>
              </w:rPr>
            </w:pPr>
            <w:r w:rsidRPr="00A17A26">
              <w:rPr>
                <w:rFonts w:cstheme="minorHAnsi"/>
                <w:b/>
                <w:sz w:val="28"/>
                <w:szCs w:val="28"/>
              </w:rPr>
              <w:t>I</w:t>
            </w:r>
          </w:p>
        </w:tc>
        <w:tc>
          <w:tcPr>
            <w:tcW w:w="630" w:type="dxa"/>
          </w:tcPr>
          <w:p w14:paraId="0A4F3DDB" w14:textId="77777777" w:rsidR="001A5B06" w:rsidRPr="00A17A26" w:rsidRDefault="001A5B06" w:rsidP="00EB7B24">
            <w:pPr>
              <w:jc w:val="center"/>
              <w:rPr>
                <w:rFonts w:cstheme="minorHAnsi"/>
                <w:b/>
                <w:sz w:val="28"/>
                <w:szCs w:val="28"/>
              </w:rPr>
            </w:pPr>
            <w:r>
              <w:rPr>
                <w:rFonts w:cstheme="minorHAnsi"/>
                <w:b/>
                <w:sz w:val="28"/>
                <w:szCs w:val="28"/>
              </w:rPr>
              <w:t>W</w:t>
            </w:r>
          </w:p>
        </w:tc>
        <w:tc>
          <w:tcPr>
            <w:tcW w:w="340" w:type="dxa"/>
          </w:tcPr>
          <w:p w14:paraId="1D04B29B" w14:textId="77777777" w:rsidR="001A5B06" w:rsidRPr="00A17A26" w:rsidRDefault="001A5B06" w:rsidP="00EB7B24">
            <w:pPr>
              <w:jc w:val="center"/>
              <w:rPr>
                <w:rFonts w:cstheme="minorHAnsi"/>
                <w:b/>
                <w:sz w:val="28"/>
                <w:szCs w:val="28"/>
              </w:rPr>
            </w:pPr>
          </w:p>
        </w:tc>
        <w:tc>
          <w:tcPr>
            <w:tcW w:w="1260" w:type="dxa"/>
          </w:tcPr>
          <w:p w14:paraId="5844B90D" w14:textId="77777777" w:rsidR="001A5B06" w:rsidRPr="00A17A26" w:rsidRDefault="001A5B06" w:rsidP="00EB7B24">
            <w:pPr>
              <w:jc w:val="center"/>
              <w:rPr>
                <w:rFonts w:cstheme="minorHAnsi"/>
                <w:b/>
                <w:sz w:val="28"/>
                <w:szCs w:val="28"/>
              </w:rPr>
            </w:pPr>
            <w:r w:rsidRPr="00A17A26">
              <w:rPr>
                <w:rFonts w:cstheme="minorHAnsi"/>
                <w:b/>
                <w:sz w:val="28"/>
                <w:szCs w:val="28"/>
              </w:rPr>
              <w:t>Total</w:t>
            </w:r>
          </w:p>
        </w:tc>
        <w:tc>
          <w:tcPr>
            <w:tcW w:w="1350" w:type="dxa"/>
          </w:tcPr>
          <w:p w14:paraId="5F7C1245" w14:textId="77777777" w:rsidR="001A5B06" w:rsidRPr="00A17A26" w:rsidRDefault="001A5B06" w:rsidP="00EB7B24">
            <w:pPr>
              <w:jc w:val="center"/>
              <w:rPr>
                <w:rFonts w:cstheme="minorHAnsi"/>
                <w:b/>
                <w:sz w:val="28"/>
                <w:szCs w:val="28"/>
              </w:rPr>
            </w:pPr>
            <w:r w:rsidRPr="00A17A26">
              <w:rPr>
                <w:rFonts w:cstheme="minorHAnsi"/>
                <w:b/>
                <w:sz w:val="28"/>
                <w:szCs w:val="28"/>
              </w:rPr>
              <w:t>Pass</w:t>
            </w:r>
          </w:p>
        </w:tc>
        <w:tc>
          <w:tcPr>
            <w:tcW w:w="1539" w:type="dxa"/>
          </w:tcPr>
          <w:p w14:paraId="35D5C625" w14:textId="77777777" w:rsidR="001A5B06" w:rsidRPr="00A17A26" w:rsidRDefault="001A5B06" w:rsidP="00EB7B24">
            <w:pPr>
              <w:jc w:val="center"/>
              <w:rPr>
                <w:rFonts w:cstheme="minorHAnsi"/>
                <w:b/>
                <w:sz w:val="28"/>
                <w:szCs w:val="28"/>
              </w:rPr>
            </w:pPr>
            <w:r>
              <w:rPr>
                <w:rFonts w:cstheme="minorHAnsi"/>
                <w:b/>
                <w:sz w:val="28"/>
                <w:szCs w:val="28"/>
              </w:rPr>
              <w:t>Failure Rate</w:t>
            </w:r>
          </w:p>
        </w:tc>
      </w:tr>
      <w:tr w:rsidR="001A5B06" w14:paraId="2DD20E52" w14:textId="77777777" w:rsidTr="00EB7B24">
        <w:tc>
          <w:tcPr>
            <w:tcW w:w="1890" w:type="dxa"/>
          </w:tcPr>
          <w:p w14:paraId="7DFBA0A0" w14:textId="77777777" w:rsidR="001A5B06" w:rsidRPr="00357ECA" w:rsidRDefault="001A5B06" w:rsidP="00EB7B24">
            <w:pPr>
              <w:jc w:val="center"/>
              <w:rPr>
                <w:rFonts w:cstheme="minorHAnsi"/>
                <w:sz w:val="24"/>
                <w:szCs w:val="24"/>
              </w:rPr>
            </w:pPr>
            <w:r>
              <w:rPr>
                <w:rFonts w:cstheme="minorHAnsi"/>
                <w:sz w:val="24"/>
                <w:szCs w:val="24"/>
              </w:rPr>
              <w:t xml:space="preserve">+ </w:t>
            </w:r>
            <w:r w:rsidRPr="00357ECA">
              <w:rPr>
                <w:rFonts w:cstheme="minorHAnsi"/>
                <w:sz w:val="24"/>
                <w:szCs w:val="24"/>
              </w:rPr>
              <w:t>Fall 2017</w:t>
            </w:r>
          </w:p>
        </w:tc>
        <w:tc>
          <w:tcPr>
            <w:tcW w:w="456" w:type="dxa"/>
          </w:tcPr>
          <w:p w14:paraId="394E208C" w14:textId="77777777" w:rsidR="001A5B06" w:rsidRDefault="001A5B06" w:rsidP="00EB7B24">
            <w:pPr>
              <w:jc w:val="center"/>
              <w:rPr>
                <w:rFonts w:cstheme="minorHAnsi"/>
                <w:sz w:val="24"/>
                <w:szCs w:val="24"/>
              </w:rPr>
            </w:pPr>
            <w:r>
              <w:rPr>
                <w:rFonts w:cstheme="minorHAnsi"/>
                <w:sz w:val="24"/>
                <w:szCs w:val="24"/>
              </w:rPr>
              <w:t>78</w:t>
            </w:r>
          </w:p>
        </w:tc>
        <w:tc>
          <w:tcPr>
            <w:tcW w:w="576" w:type="dxa"/>
          </w:tcPr>
          <w:p w14:paraId="05436F9B" w14:textId="77777777" w:rsidR="001A5B06" w:rsidRDefault="001A5B06" w:rsidP="00EB7B24">
            <w:pPr>
              <w:jc w:val="center"/>
              <w:rPr>
                <w:rFonts w:cstheme="minorHAnsi"/>
                <w:sz w:val="24"/>
                <w:szCs w:val="24"/>
              </w:rPr>
            </w:pPr>
            <w:r>
              <w:rPr>
                <w:rFonts w:cstheme="minorHAnsi"/>
                <w:sz w:val="24"/>
                <w:szCs w:val="24"/>
              </w:rPr>
              <w:t>122</w:t>
            </w:r>
          </w:p>
        </w:tc>
        <w:tc>
          <w:tcPr>
            <w:tcW w:w="498" w:type="dxa"/>
          </w:tcPr>
          <w:p w14:paraId="071D517F" w14:textId="77777777" w:rsidR="001A5B06" w:rsidRDefault="001A5B06" w:rsidP="00EB7B24">
            <w:pPr>
              <w:jc w:val="center"/>
              <w:rPr>
                <w:rFonts w:cstheme="minorHAnsi"/>
                <w:sz w:val="24"/>
                <w:szCs w:val="24"/>
              </w:rPr>
            </w:pPr>
            <w:r>
              <w:rPr>
                <w:rFonts w:cstheme="minorHAnsi"/>
                <w:sz w:val="24"/>
                <w:szCs w:val="24"/>
              </w:rPr>
              <w:t>0</w:t>
            </w:r>
          </w:p>
        </w:tc>
        <w:tc>
          <w:tcPr>
            <w:tcW w:w="630" w:type="dxa"/>
          </w:tcPr>
          <w:p w14:paraId="0ACC33DB"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56EE0D4F" w14:textId="77777777" w:rsidR="001A5B06" w:rsidRDefault="001A5B06" w:rsidP="00EB7B24">
            <w:pPr>
              <w:jc w:val="center"/>
              <w:rPr>
                <w:rFonts w:cstheme="minorHAnsi"/>
                <w:sz w:val="24"/>
                <w:szCs w:val="24"/>
              </w:rPr>
            </w:pPr>
          </w:p>
        </w:tc>
        <w:tc>
          <w:tcPr>
            <w:tcW w:w="1260" w:type="dxa"/>
          </w:tcPr>
          <w:p w14:paraId="058164BF" w14:textId="77777777" w:rsidR="001A5B06" w:rsidRDefault="001A5B06" w:rsidP="00EB7B24">
            <w:pPr>
              <w:jc w:val="center"/>
              <w:rPr>
                <w:rFonts w:cstheme="minorHAnsi"/>
                <w:sz w:val="24"/>
                <w:szCs w:val="24"/>
              </w:rPr>
            </w:pPr>
            <w:r>
              <w:rPr>
                <w:rFonts w:cstheme="minorHAnsi"/>
                <w:sz w:val="24"/>
                <w:szCs w:val="24"/>
              </w:rPr>
              <w:t>705</w:t>
            </w:r>
          </w:p>
        </w:tc>
        <w:tc>
          <w:tcPr>
            <w:tcW w:w="1350" w:type="dxa"/>
          </w:tcPr>
          <w:p w14:paraId="5002AD15" w14:textId="77777777" w:rsidR="001A5B06" w:rsidRDefault="001A5B06" w:rsidP="00EB7B24">
            <w:pPr>
              <w:jc w:val="center"/>
              <w:rPr>
                <w:rFonts w:cstheme="minorHAnsi"/>
                <w:sz w:val="24"/>
                <w:szCs w:val="24"/>
              </w:rPr>
            </w:pPr>
            <w:r>
              <w:rPr>
                <w:rFonts w:cstheme="minorHAnsi"/>
                <w:sz w:val="24"/>
                <w:szCs w:val="24"/>
              </w:rPr>
              <w:t>505</w:t>
            </w:r>
          </w:p>
        </w:tc>
        <w:tc>
          <w:tcPr>
            <w:tcW w:w="1539" w:type="dxa"/>
          </w:tcPr>
          <w:p w14:paraId="11B6D33A" w14:textId="77777777" w:rsidR="001A5B06" w:rsidRDefault="001A5B06" w:rsidP="00EB7B24">
            <w:pPr>
              <w:jc w:val="center"/>
              <w:rPr>
                <w:rFonts w:cstheme="minorHAnsi"/>
                <w:sz w:val="24"/>
                <w:szCs w:val="24"/>
              </w:rPr>
            </w:pPr>
            <w:r>
              <w:rPr>
                <w:rFonts w:cstheme="minorHAnsi"/>
                <w:sz w:val="24"/>
                <w:szCs w:val="24"/>
              </w:rPr>
              <w:t>42.5%</w:t>
            </w:r>
          </w:p>
        </w:tc>
      </w:tr>
      <w:tr w:rsidR="001A5B06" w14:paraId="386B2255" w14:textId="77777777" w:rsidTr="00EB7B24">
        <w:tc>
          <w:tcPr>
            <w:tcW w:w="1890" w:type="dxa"/>
          </w:tcPr>
          <w:p w14:paraId="6E7C26BE" w14:textId="77777777" w:rsidR="001A5B06" w:rsidRPr="00357ECA" w:rsidRDefault="001A5B06" w:rsidP="00EB7B24">
            <w:pPr>
              <w:jc w:val="center"/>
              <w:rPr>
                <w:rFonts w:cstheme="minorHAnsi"/>
                <w:sz w:val="24"/>
                <w:szCs w:val="24"/>
              </w:rPr>
            </w:pPr>
            <w:r>
              <w:rPr>
                <w:rFonts w:cstheme="minorHAnsi"/>
                <w:sz w:val="24"/>
                <w:szCs w:val="24"/>
              </w:rPr>
              <w:t xml:space="preserve">+ </w:t>
            </w:r>
            <w:r w:rsidRPr="00357ECA">
              <w:rPr>
                <w:rFonts w:cstheme="minorHAnsi"/>
                <w:sz w:val="24"/>
                <w:szCs w:val="24"/>
              </w:rPr>
              <w:t>Spring 2018</w:t>
            </w:r>
          </w:p>
        </w:tc>
        <w:tc>
          <w:tcPr>
            <w:tcW w:w="456" w:type="dxa"/>
          </w:tcPr>
          <w:p w14:paraId="2BE747C0" w14:textId="77777777" w:rsidR="001A5B06" w:rsidRDefault="001A5B06" w:rsidP="00EB7B24">
            <w:pPr>
              <w:jc w:val="center"/>
              <w:rPr>
                <w:rFonts w:cstheme="minorHAnsi"/>
                <w:sz w:val="24"/>
                <w:szCs w:val="24"/>
              </w:rPr>
            </w:pPr>
            <w:r>
              <w:rPr>
                <w:rFonts w:cstheme="minorHAnsi"/>
                <w:sz w:val="24"/>
                <w:szCs w:val="24"/>
              </w:rPr>
              <w:t>41</w:t>
            </w:r>
          </w:p>
        </w:tc>
        <w:tc>
          <w:tcPr>
            <w:tcW w:w="576" w:type="dxa"/>
          </w:tcPr>
          <w:p w14:paraId="62B86CFC" w14:textId="77777777" w:rsidR="001A5B06" w:rsidRDefault="001A5B06" w:rsidP="00EB7B24">
            <w:pPr>
              <w:jc w:val="center"/>
              <w:rPr>
                <w:rFonts w:cstheme="minorHAnsi"/>
                <w:sz w:val="24"/>
                <w:szCs w:val="24"/>
              </w:rPr>
            </w:pPr>
            <w:r>
              <w:rPr>
                <w:rFonts w:cstheme="minorHAnsi"/>
                <w:sz w:val="24"/>
                <w:szCs w:val="24"/>
              </w:rPr>
              <w:t>56</w:t>
            </w:r>
          </w:p>
        </w:tc>
        <w:tc>
          <w:tcPr>
            <w:tcW w:w="498" w:type="dxa"/>
          </w:tcPr>
          <w:p w14:paraId="5839F063" w14:textId="77777777" w:rsidR="001A5B06" w:rsidRDefault="001A5B06" w:rsidP="00EB7B24">
            <w:pPr>
              <w:jc w:val="center"/>
              <w:rPr>
                <w:rFonts w:cstheme="minorHAnsi"/>
                <w:sz w:val="24"/>
                <w:szCs w:val="24"/>
              </w:rPr>
            </w:pPr>
            <w:r>
              <w:rPr>
                <w:rFonts w:cstheme="minorHAnsi"/>
                <w:sz w:val="24"/>
                <w:szCs w:val="24"/>
              </w:rPr>
              <w:t>1</w:t>
            </w:r>
          </w:p>
        </w:tc>
        <w:tc>
          <w:tcPr>
            <w:tcW w:w="630" w:type="dxa"/>
          </w:tcPr>
          <w:p w14:paraId="41C7F4EF"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2F0C4F0A" w14:textId="77777777" w:rsidR="001A5B06" w:rsidRDefault="001A5B06" w:rsidP="00EB7B24">
            <w:pPr>
              <w:jc w:val="center"/>
              <w:rPr>
                <w:rFonts w:cstheme="minorHAnsi"/>
                <w:sz w:val="24"/>
                <w:szCs w:val="24"/>
              </w:rPr>
            </w:pPr>
          </w:p>
        </w:tc>
        <w:tc>
          <w:tcPr>
            <w:tcW w:w="1260" w:type="dxa"/>
          </w:tcPr>
          <w:p w14:paraId="064100C9" w14:textId="77777777" w:rsidR="001A5B06" w:rsidRDefault="001A5B06" w:rsidP="00EB7B24">
            <w:pPr>
              <w:jc w:val="center"/>
              <w:rPr>
                <w:rFonts w:cstheme="minorHAnsi"/>
                <w:sz w:val="24"/>
                <w:szCs w:val="24"/>
              </w:rPr>
            </w:pPr>
            <w:r>
              <w:rPr>
                <w:rFonts w:cstheme="minorHAnsi"/>
                <w:sz w:val="24"/>
                <w:szCs w:val="24"/>
              </w:rPr>
              <w:t>271</w:t>
            </w:r>
          </w:p>
        </w:tc>
        <w:tc>
          <w:tcPr>
            <w:tcW w:w="1350" w:type="dxa"/>
          </w:tcPr>
          <w:p w14:paraId="06C7E3CF" w14:textId="77777777" w:rsidR="001A5B06" w:rsidRDefault="001A5B06" w:rsidP="00EB7B24">
            <w:pPr>
              <w:jc w:val="center"/>
              <w:rPr>
                <w:rFonts w:cstheme="minorHAnsi"/>
                <w:sz w:val="24"/>
                <w:szCs w:val="24"/>
              </w:rPr>
            </w:pPr>
            <w:r>
              <w:rPr>
                <w:rFonts w:cstheme="minorHAnsi"/>
                <w:sz w:val="24"/>
                <w:szCs w:val="24"/>
              </w:rPr>
              <w:t>173</w:t>
            </w:r>
          </w:p>
        </w:tc>
        <w:tc>
          <w:tcPr>
            <w:tcW w:w="1539" w:type="dxa"/>
          </w:tcPr>
          <w:p w14:paraId="3D7B25EF" w14:textId="77777777" w:rsidR="001A5B06" w:rsidRDefault="001A5B06" w:rsidP="00EB7B24">
            <w:pPr>
              <w:jc w:val="center"/>
              <w:rPr>
                <w:rFonts w:cstheme="minorHAnsi"/>
                <w:sz w:val="24"/>
                <w:szCs w:val="24"/>
              </w:rPr>
            </w:pPr>
            <w:r>
              <w:rPr>
                <w:rFonts w:cstheme="minorHAnsi"/>
                <w:sz w:val="24"/>
                <w:szCs w:val="24"/>
              </w:rPr>
              <w:t>35.7%</w:t>
            </w:r>
          </w:p>
        </w:tc>
      </w:tr>
      <w:tr w:rsidR="001A5B06" w14:paraId="706C05DF" w14:textId="77777777" w:rsidTr="00EB7B24">
        <w:tc>
          <w:tcPr>
            <w:tcW w:w="1890" w:type="dxa"/>
          </w:tcPr>
          <w:p w14:paraId="0110EEEC" w14:textId="77777777" w:rsidR="001A5B06" w:rsidRDefault="001A5B06" w:rsidP="00EB7B24">
            <w:pPr>
              <w:jc w:val="center"/>
              <w:rPr>
                <w:rFonts w:cstheme="minorHAnsi"/>
                <w:sz w:val="24"/>
                <w:szCs w:val="24"/>
              </w:rPr>
            </w:pPr>
            <w:r>
              <w:rPr>
                <w:rFonts w:cstheme="minorHAnsi"/>
                <w:sz w:val="24"/>
                <w:szCs w:val="24"/>
              </w:rPr>
              <w:t>+ Fall 2018</w:t>
            </w:r>
          </w:p>
        </w:tc>
        <w:tc>
          <w:tcPr>
            <w:tcW w:w="456" w:type="dxa"/>
          </w:tcPr>
          <w:p w14:paraId="01AA97A0" w14:textId="77777777" w:rsidR="001A5B06" w:rsidRDefault="001A5B06" w:rsidP="00EB7B24">
            <w:pPr>
              <w:jc w:val="center"/>
              <w:rPr>
                <w:rFonts w:cstheme="minorHAnsi"/>
                <w:sz w:val="24"/>
                <w:szCs w:val="24"/>
              </w:rPr>
            </w:pPr>
            <w:r>
              <w:rPr>
                <w:rFonts w:cstheme="minorHAnsi"/>
                <w:sz w:val="24"/>
                <w:szCs w:val="24"/>
              </w:rPr>
              <w:t>37</w:t>
            </w:r>
          </w:p>
        </w:tc>
        <w:tc>
          <w:tcPr>
            <w:tcW w:w="576" w:type="dxa"/>
          </w:tcPr>
          <w:p w14:paraId="088777F9" w14:textId="77777777" w:rsidR="001A5B06" w:rsidRDefault="001A5B06" w:rsidP="00EB7B24">
            <w:pPr>
              <w:jc w:val="center"/>
              <w:rPr>
                <w:rFonts w:cstheme="minorHAnsi"/>
                <w:sz w:val="24"/>
                <w:szCs w:val="24"/>
              </w:rPr>
            </w:pPr>
            <w:r>
              <w:rPr>
                <w:rFonts w:cstheme="minorHAnsi"/>
                <w:sz w:val="24"/>
                <w:szCs w:val="24"/>
              </w:rPr>
              <w:t>75</w:t>
            </w:r>
          </w:p>
        </w:tc>
        <w:tc>
          <w:tcPr>
            <w:tcW w:w="498" w:type="dxa"/>
          </w:tcPr>
          <w:p w14:paraId="501235D3" w14:textId="77777777" w:rsidR="001A5B06" w:rsidRDefault="001A5B06" w:rsidP="00EB7B24">
            <w:pPr>
              <w:jc w:val="center"/>
              <w:rPr>
                <w:rFonts w:cstheme="minorHAnsi"/>
                <w:sz w:val="24"/>
                <w:szCs w:val="24"/>
              </w:rPr>
            </w:pPr>
            <w:r>
              <w:rPr>
                <w:rFonts w:cstheme="minorHAnsi"/>
                <w:sz w:val="24"/>
                <w:szCs w:val="24"/>
              </w:rPr>
              <w:t>0</w:t>
            </w:r>
          </w:p>
        </w:tc>
        <w:tc>
          <w:tcPr>
            <w:tcW w:w="630" w:type="dxa"/>
          </w:tcPr>
          <w:p w14:paraId="65A7D137"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72120B7C" w14:textId="77777777" w:rsidR="001A5B06" w:rsidRDefault="001A5B06" w:rsidP="00EB7B24">
            <w:pPr>
              <w:jc w:val="center"/>
              <w:rPr>
                <w:rFonts w:cstheme="minorHAnsi"/>
                <w:sz w:val="24"/>
                <w:szCs w:val="24"/>
              </w:rPr>
            </w:pPr>
          </w:p>
        </w:tc>
        <w:tc>
          <w:tcPr>
            <w:tcW w:w="1260" w:type="dxa"/>
          </w:tcPr>
          <w:p w14:paraId="394F9274" w14:textId="77777777" w:rsidR="001A5B06" w:rsidRDefault="001A5B06" w:rsidP="00EB7B24">
            <w:pPr>
              <w:jc w:val="center"/>
              <w:rPr>
                <w:rFonts w:cstheme="minorHAnsi"/>
                <w:sz w:val="24"/>
                <w:szCs w:val="24"/>
              </w:rPr>
            </w:pPr>
            <w:r>
              <w:rPr>
                <w:rFonts w:cstheme="minorHAnsi"/>
                <w:sz w:val="24"/>
                <w:szCs w:val="24"/>
              </w:rPr>
              <w:t>712</w:t>
            </w:r>
          </w:p>
        </w:tc>
        <w:tc>
          <w:tcPr>
            <w:tcW w:w="1350" w:type="dxa"/>
          </w:tcPr>
          <w:p w14:paraId="3CB2301A" w14:textId="77777777" w:rsidR="001A5B06" w:rsidRDefault="001A5B06" w:rsidP="00EB7B24">
            <w:pPr>
              <w:jc w:val="center"/>
              <w:rPr>
                <w:rFonts w:cstheme="minorHAnsi"/>
                <w:sz w:val="24"/>
                <w:szCs w:val="24"/>
              </w:rPr>
            </w:pPr>
            <w:r>
              <w:rPr>
                <w:rFonts w:cstheme="minorHAnsi"/>
                <w:sz w:val="24"/>
                <w:szCs w:val="24"/>
              </w:rPr>
              <w:t>600</w:t>
            </w:r>
          </w:p>
        </w:tc>
        <w:tc>
          <w:tcPr>
            <w:tcW w:w="1539" w:type="dxa"/>
          </w:tcPr>
          <w:p w14:paraId="1AEC259F" w14:textId="77777777" w:rsidR="001A5B06" w:rsidRDefault="001A5B06" w:rsidP="00EB7B24">
            <w:pPr>
              <w:jc w:val="center"/>
              <w:rPr>
                <w:rFonts w:cstheme="minorHAnsi"/>
                <w:sz w:val="24"/>
                <w:szCs w:val="24"/>
              </w:rPr>
            </w:pPr>
            <w:r>
              <w:rPr>
                <w:rFonts w:cstheme="minorHAnsi"/>
                <w:sz w:val="24"/>
                <w:szCs w:val="24"/>
              </w:rPr>
              <w:t>15.7%</w:t>
            </w:r>
          </w:p>
        </w:tc>
      </w:tr>
      <w:tr w:rsidR="001A5B06" w14:paraId="24F7CE6B" w14:textId="77777777" w:rsidTr="00EB7B24">
        <w:tc>
          <w:tcPr>
            <w:tcW w:w="1890" w:type="dxa"/>
          </w:tcPr>
          <w:p w14:paraId="7B2A364B" w14:textId="77777777" w:rsidR="001A5B06" w:rsidRDefault="001A5B06" w:rsidP="00EB7B24">
            <w:pPr>
              <w:jc w:val="center"/>
              <w:rPr>
                <w:rFonts w:cstheme="minorHAnsi"/>
                <w:sz w:val="24"/>
                <w:szCs w:val="24"/>
              </w:rPr>
            </w:pPr>
            <w:r>
              <w:rPr>
                <w:rFonts w:cstheme="minorHAnsi"/>
                <w:sz w:val="24"/>
                <w:szCs w:val="24"/>
              </w:rPr>
              <w:t>+ Spring 2019</w:t>
            </w:r>
          </w:p>
        </w:tc>
        <w:tc>
          <w:tcPr>
            <w:tcW w:w="456" w:type="dxa"/>
          </w:tcPr>
          <w:p w14:paraId="1D71C5DF" w14:textId="77777777" w:rsidR="001A5B06" w:rsidRDefault="001A5B06" w:rsidP="00EB7B24">
            <w:pPr>
              <w:jc w:val="center"/>
              <w:rPr>
                <w:rFonts w:cstheme="minorHAnsi"/>
                <w:sz w:val="24"/>
                <w:szCs w:val="24"/>
              </w:rPr>
            </w:pPr>
            <w:r>
              <w:rPr>
                <w:rFonts w:cstheme="minorHAnsi"/>
                <w:sz w:val="24"/>
                <w:szCs w:val="24"/>
              </w:rPr>
              <w:t>10</w:t>
            </w:r>
          </w:p>
        </w:tc>
        <w:tc>
          <w:tcPr>
            <w:tcW w:w="576" w:type="dxa"/>
          </w:tcPr>
          <w:p w14:paraId="30C0C1C5" w14:textId="77777777" w:rsidR="001A5B06" w:rsidRDefault="001A5B06" w:rsidP="00EB7B24">
            <w:pPr>
              <w:jc w:val="center"/>
              <w:rPr>
                <w:rFonts w:cstheme="minorHAnsi"/>
                <w:sz w:val="24"/>
                <w:szCs w:val="24"/>
              </w:rPr>
            </w:pPr>
            <w:r>
              <w:rPr>
                <w:rFonts w:cstheme="minorHAnsi"/>
                <w:sz w:val="24"/>
                <w:szCs w:val="24"/>
              </w:rPr>
              <w:t>15</w:t>
            </w:r>
          </w:p>
        </w:tc>
        <w:tc>
          <w:tcPr>
            <w:tcW w:w="498" w:type="dxa"/>
          </w:tcPr>
          <w:p w14:paraId="6DD68086" w14:textId="77777777" w:rsidR="001A5B06" w:rsidRDefault="001A5B06" w:rsidP="00EB7B24">
            <w:pPr>
              <w:jc w:val="center"/>
              <w:rPr>
                <w:rFonts w:cstheme="minorHAnsi"/>
                <w:sz w:val="24"/>
                <w:szCs w:val="24"/>
              </w:rPr>
            </w:pPr>
            <w:r>
              <w:rPr>
                <w:rFonts w:cstheme="minorHAnsi"/>
                <w:sz w:val="24"/>
                <w:szCs w:val="24"/>
              </w:rPr>
              <w:t>0</w:t>
            </w:r>
          </w:p>
        </w:tc>
        <w:tc>
          <w:tcPr>
            <w:tcW w:w="630" w:type="dxa"/>
          </w:tcPr>
          <w:p w14:paraId="590D8C57"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77CDC297" w14:textId="77777777" w:rsidR="001A5B06" w:rsidRDefault="001A5B06" w:rsidP="00EB7B24">
            <w:pPr>
              <w:jc w:val="center"/>
              <w:rPr>
                <w:rFonts w:cstheme="minorHAnsi"/>
                <w:sz w:val="24"/>
                <w:szCs w:val="24"/>
              </w:rPr>
            </w:pPr>
          </w:p>
        </w:tc>
        <w:tc>
          <w:tcPr>
            <w:tcW w:w="1260" w:type="dxa"/>
          </w:tcPr>
          <w:p w14:paraId="2BAF04A8" w14:textId="77777777" w:rsidR="001A5B06" w:rsidRDefault="001A5B06" w:rsidP="00EB7B24">
            <w:pPr>
              <w:jc w:val="center"/>
              <w:rPr>
                <w:rFonts w:cstheme="minorHAnsi"/>
                <w:sz w:val="24"/>
                <w:szCs w:val="24"/>
              </w:rPr>
            </w:pPr>
            <w:r>
              <w:rPr>
                <w:rFonts w:cstheme="minorHAnsi"/>
                <w:sz w:val="24"/>
                <w:szCs w:val="24"/>
              </w:rPr>
              <w:t>157</w:t>
            </w:r>
          </w:p>
        </w:tc>
        <w:tc>
          <w:tcPr>
            <w:tcW w:w="1350" w:type="dxa"/>
          </w:tcPr>
          <w:p w14:paraId="745266C9" w14:textId="77777777" w:rsidR="001A5B06" w:rsidRDefault="001A5B06" w:rsidP="00EB7B24">
            <w:pPr>
              <w:jc w:val="center"/>
              <w:rPr>
                <w:rFonts w:cstheme="minorHAnsi"/>
                <w:sz w:val="24"/>
                <w:szCs w:val="24"/>
              </w:rPr>
            </w:pPr>
            <w:r>
              <w:rPr>
                <w:rFonts w:cstheme="minorHAnsi"/>
                <w:sz w:val="24"/>
                <w:szCs w:val="24"/>
              </w:rPr>
              <w:t>132</w:t>
            </w:r>
          </w:p>
        </w:tc>
        <w:tc>
          <w:tcPr>
            <w:tcW w:w="1539" w:type="dxa"/>
          </w:tcPr>
          <w:p w14:paraId="183E3158" w14:textId="77777777" w:rsidR="001A5B06" w:rsidRDefault="001A5B06" w:rsidP="00EB7B24">
            <w:pPr>
              <w:jc w:val="center"/>
              <w:rPr>
                <w:rFonts w:cstheme="minorHAnsi"/>
                <w:sz w:val="24"/>
                <w:szCs w:val="24"/>
              </w:rPr>
            </w:pPr>
            <w:r>
              <w:rPr>
                <w:rFonts w:cstheme="minorHAnsi"/>
                <w:sz w:val="24"/>
                <w:szCs w:val="24"/>
              </w:rPr>
              <w:t>15.9%</w:t>
            </w:r>
          </w:p>
        </w:tc>
      </w:tr>
      <w:tr w:rsidR="001A5B06" w14:paraId="73A0D55C" w14:textId="77777777" w:rsidTr="00EB7B24">
        <w:tc>
          <w:tcPr>
            <w:tcW w:w="1890" w:type="dxa"/>
          </w:tcPr>
          <w:p w14:paraId="51B6A35B" w14:textId="77777777" w:rsidR="001A5B06" w:rsidRDefault="001A5B06" w:rsidP="00EB7B24">
            <w:pPr>
              <w:jc w:val="center"/>
              <w:rPr>
                <w:rFonts w:cstheme="minorHAnsi"/>
                <w:sz w:val="24"/>
                <w:szCs w:val="24"/>
              </w:rPr>
            </w:pPr>
            <w:r>
              <w:rPr>
                <w:rFonts w:cstheme="minorHAnsi"/>
                <w:sz w:val="24"/>
                <w:szCs w:val="24"/>
              </w:rPr>
              <w:t>+Summer 2019</w:t>
            </w:r>
          </w:p>
        </w:tc>
        <w:tc>
          <w:tcPr>
            <w:tcW w:w="456" w:type="dxa"/>
          </w:tcPr>
          <w:p w14:paraId="66A5B4A5" w14:textId="77777777" w:rsidR="001A5B06" w:rsidRDefault="001A5B06" w:rsidP="00EB7B24">
            <w:pPr>
              <w:jc w:val="center"/>
              <w:rPr>
                <w:rFonts w:cstheme="minorHAnsi"/>
                <w:sz w:val="24"/>
                <w:szCs w:val="24"/>
              </w:rPr>
            </w:pPr>
            <w:r>
              <w:rPr>
                <w:rFonts w:cstheme="minorHAnsi"/>
                <w:sz w:val="24"/>
                <w:szCs w:val="24"/>
              </w:rPr>
              <w:t>0</w:t>
            </w:r>
          </w:p>
        </w:tc>
        <w:tc>
          <w:tcPr>
            <w:tcW w:w="576" w:type="dxa"/>
          </w:tcPr>
          <w:p w14:paraId="7E100EEE" w14:textId="77777777" w:rsidR="001A5B06" w:rsidRDefault="001A5B06" w:rsidP="00EB7B24">
            <w:pPr>
              <w:jc w:val="center"/>
              <w:rPr>
                <w:rFonts w:cstheme="minorHAnsi"/>
                <w:sz w:val="24"/>
                <w:szCs w:val="24"/>
              </w:rPr>
            </w:pPr>
            <w:r>
              <w:rPr>
                <w:rFonts w:cstheme="minorHAnsi"/>
                <w:sz w:val="24"/>
                <w:szCs w:val="24"/>
              </w:rPr>
              <w:t>1</w:t>
            </w:r>
          </w:p>
        </w:tc>
        <w:tc>
          <w:tcPr>
            <w:tcW w:w="498" w:type="dxa"/>
          </w:tcPr>
          <w:p w14:paraId="4919BD5E" w14:textId="77777777" w:rsidR="001A5B06" w:rsidRDefault="001A5B06" w:rsidP="00EB7B24">
            <w:pPr>
              <w:jc w:val="center"/>
              <w:rPr>
                <w:rFonts w:cstheme="minorHAnsi"/>
                <w:sz w:val="24"/>
                <w:szCs w:val="24"/>
              </w:rPr>
            </w:pPr>
            <w:r>
              <w:rPr>
                <w:rFonts w:cstheme="minorHAnsi"/>
                <w:sz w:val="24"/>
                <w:szCs w:val="24"/>
              </w:rPr>
              <w:t>0</w:t>
            </w:r>
          </w:p>
        </w:tc>
        <w:tc>
          <w:tcPr>
            <w:tcW w:w="630" w:type="dxa"/>
          </w:tcPr>
          <w:p w14:paraId="7B829131"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5B090108" w14:textId="77777777" w:rsidR="001A5B06" w:rsidRDefault="001A5B06" w:rsidP="00EB7B24">
            <w:pPr>
              <w:jc w:val="center"/>
              <w:rPr>
                <w:rFonts w:cstheme="minorHAnsi"/>
                <w:sz w:val="24"/>
                <w:szCs w:val="24"/>
              </w:rPr>
            </w:pPr>
          </w:p>
        </w:tc>
        <w:tc>
          <w:tcPr>
            <w:tcW w:w="1260" w:type="dxa"/>
          </w:tcPr>
          <w:p w14:paraId="0379700B" w14:textId="77777777" w:rsidR="001A5B06" w:rsidRDefault="001A5B06" w:rsidP="00EB7B24">
            <w:pPr>
              <w:jc w:val="center"/>
              <w:rPr>
                <w:rFonts w:cstheme="minorHAnsi"/>
                <w:sz w:val="24"/>
                <w:szCs w:val="24"/>
              </w:rPr>
            </w:pPr>
            <w:r>
              <w:rPr>
                <w:rFonts w:cstheme="minorHAnsi"/>
                <w:sz w:val="24"/>
                <w:szCs w:val="24"/>
              </w:rPr>
              <w:t>7</w:t>
            </w:r>
          </w:p>
        </w:tc>
        <w:tc>
          <w:tcPr>
            <w:tcW w:w="1350" w:type="dxa"/>
          </w:tcPr>
          <w:p w14:paraId="64CC0B31" w14:textId="77777777" w:rsidR="001A5B06" w:rsidRDefault="001A5B06" w:rsidP="00EB7B24">
            <w:pPr>
              <w:jc w:val="center"/>
              <w:rPr>
                <w:rFonts w:cstheme="minorHAnsi"/>
                <w:sz w:val="24"/>
                <w:szCs w:val="24"/>
              </w:rPr>
            </w:pPr>
            <w:r>
              <w:rPr>
                <w:rFonts w:cstheme="minorHAnsi"/>
                <w:sz w:val="24"/>
                <w:szCs w:val="24"/>
              </w:rPr>
              <w:t>6</w:t>
            </w:r>
          </w:p>
        </w:tc>
        <w:tc>
          <w:tcPr>
            <w:tcW w:w="1539" w:type="dxa"/>
          </w:tcPr>
          <w:p w14:paraId="02D655A9" w14:textId="77777777" w:rsidR="001A5B06" w:rsidRDefault="001A5B06" w:rsidP="00EB7B24">
            <w:pPr>
              <w:jc w:val="center"/>
              <w:rPr>
                <w:rFonts w:cstheme="minorHAnsi"/>
                <w:sz w:val="24"/>
                <w:szCs w:val="24"/>
              </w:rPr>
            </w:pPr>
            <w:r>
              <w:rPr>
                <w:rFonts w:cstheme="minorHAnsi"/>
                <w:sz w:val="24"/>
                <w:szCs w:val="24"/>
              </w:rPr>
              <w:t>14.3%</w:t>
            </w:r>
          </w:p>
        </w:tc>
      </w:tr>
      <w:tr w:rsidR="001A5B06" w14:paraId="51B04A02" w14:textId="77777777" w:rsidTr="00EB7B24">
        <w:tc>
          <w:tcPr>
            <w:tcW w:w="1890" w:type="dxa"/>
          </w:tcPr>
          <w:p w14:paraId="7C2627A0" w14:textId="77777777" w:rsidR="001A5B06" w:rsidRDefault="001A5B06" w:rsidP="00EB7B24">
            <w:pPr>
              <w:jc w:val="center"/>
              <w:rPr>
                <w:rFonts w:cstheme="minorHAnsi"/>
                <w:sz w:val="24"/>
                <w:szCs w:val="24"/>
              </w:rPr>
            </w:pPr>
            <w:r>
              <w:rPr>
                <w:rFonts w:cstheme="minorHAnsi"/>
                <w:sz w:val="24"/>
                <w:szCs w:val="24"/>
              </w:rPr>
              <w:t>++ Fall 2019</w:t>
            </w:r>
          </w:p>
        </w:tc>
        <w:tc>
          <w:tcPr>
            <w:tcW w:w="456" w:type="dxa"/>
          </w:tcPr>
          <w:p w14:paraId="5ECB29F9" w14:textId="77777777" w:rsidR="001A5B06" w:rsidRDefault="001A5B06" w:rsidP="00EB7B24">
            <w:pPr>
              <w:jc w:val="center"/>
              <w:rPr>
                <w:rFonts w:cstheme="minorHAnsi"/>
                <w:sz w:val="24"/>
                <w:szCs w:val="24"/>
              </w:rPr>
            </w:pPr>
            <w:r>
              <w:rPr>
                <w:rFonts w:cstheme="minorHAnsi"/>
                <w:sz w:val="24"/>
                <w:szCs w:val="24"/>
              </w:rPr>
              <w:t>18</w:t>
            </w:r>
          </w:p>
        </w:tc>
        <w:tc>
          <w:tcPr>
            <w:tcW w:w="576" w:type="dxa"/>
          </w:tcPr>
          <w:p w14:paraId="3316113F" w14:textId="77777777" w:rsidR="001A5B06" w:rsidRDefault="001A5B06" w:rsidP="00EB7B24">
            <w:pPr>
              <w:jc w:val="center"/>
              <w:rPr>
                <w:rFonts w:cstheme="minorHAnsi"/>
                <w:sz w:val="24"/>
                <w:szCs w:val="24"/>
              </w:rPr>
            </w:pPr>
            <w:r>
              <w:rPr>
                <w:rFonts w:cstheme="minorHAnsi"/>
                <w:sz w:val="24"/>
                <w:szCs w:val="24"/>
              </w:rPr>
              <w:t>53</w:t>
            </w:r>
          </w:p>
        </w:tc>
        <w:tc>
          <w:tcPr>
            <w:tcW w:w="498" w:type="dxa"/>
          </w:tcPr>
          <w:p w14:paraId="70A064EB" w14:textId="77777777" w:rsidR="001A5B06" w:rsidRDefault="001A5B06" w:rsidP="00EB7B24">
            <w:pPr>
              <w:jc w:val="center"/>
              <w:rPr>
                <w:rFonts w:cstheme="minorHAnsi"/>
                <w:sz w:val="24"/>
                <w:szCs w:val="24"/>
              </w:rPr>
            </w:pPr>
            <w:r>
              <w:rPr>
                <w:rFonts w:cstheme="minorHAnsi"/>
                <w:sz w:val="24"/>
                <w:szCs w:val="24"/>
              </w:rPr>
              <w:t>4</w:t>
            </w:r>
          </w:p>
        </w:tc>
        <w:tc>
          <w:tcPr>
            <w:tcW w:w="630" w:type="dxa"/>
          </w:tcPr>
          <w:p w14:paraId="544C6CB4" w14:textId="77777777" w:rsidR="001A5B06" w:rsidRDefault="001A5B06" w:rsidP="00EB7B24">
            <w:pPr>
              <w:jc w:val="center"/>
              <w:rPr>
                <w:rFonts w:cstheme="minorHAnsi"/>
                <w:sz w:val="24"/>
                <w:szCs w:val="24"/>
              </w:rPr>
            </w:pPr>
            <w:r>
              <w:rPr>
                <w:rFonts w:cstheme="minorHAnsi"/>
                <w:sz w:val="24"/>
                <w:szCs w:val="24"/>
              </w:rPr>
              <w:t>6(1%)</w:t>
            </w:r>
          </w:p>
        </w:tc>
        <w:tc>
          <w:tcPr>
            <w:tcW w:w="340" w:type="dxa"/>
          </w:tcPr>
          <w:p w14:paraId="12F30D6F" w14:textId="77777777" w:rsidR="001A5B06" w:rsidRDefault="001A5B06" w:rsidP="00EB7B24">
            <w:pPr>
              <w:jc w:val="center"/>
              <w:rPr>
                <w:rFonts w:cstheme="minorHAnsi"/>
                <w:sz w:val="24"/>
                <w:szCs w:val="24"/>
              </w:rPr>
            </w:pPr>
          </w:p>
        </w:tc>
        <w:tc>
          <w:tcPr>
            <w:tcW w:w="1260" w:type="dxa"/>
          </w:tcPr>
          <w:p w14:paraId="11571F36" w14:textId="77777777" w:rsidR="001A5B06" w:rsidRDefault="001A5B06" w:rsidP="00EB7B24">
            <w:pPr>
              <w:jc w:val="center"/>
              <w:rPr>
                <w:rFonts w:cstheme="minorHAnsi"/>
                <w:sz w:val="24"/>
                <w:szCs w:val="24"/>
              </w:rPr>
            </w:pPr>
            <w:r>
              <w:rPr>
                <w:rFonts w:cstheme="minorHAnsi"/>
                <w:sz w:val="24"/>
                <w:szCs w:val="24"/>
              </w:rPr>
              <w:t>422</w:t>
            </w:r>
          </w:p>
        </w:tc>
        <w:tc>
          <w:tcPr>
            <w:tcW w:w="1350" w:type="dxa"/>
          </w:tcPr>
          <w:p w14:paraId="565523D2" w14:textId="77777777" w:rsidR="001A5B06" w:rsidRDefault="001A5B06" w:rsidP="00EB7B24">
            <w:pPr>
              <w:jc w:val="center"/>
              <w:rPr>
                <w:rFonts w:cstheme="minorHAnsi"/>
                <w:sz w:val="24"/>
                <w:szCs w:val="24"/>
              </w:rPr>
            </w:pPr>
            <w:r>
              <w:rPr>
                <w:rFonts w:cstheme="minorHAnsi"/>
                <w:sz w:val="24"/>
                <w:szCs w:val="24"/>
              </w:rPr>
              <w:t>347</w:t>
            </w:r>
          </w:p>
        </w:tc>
        <w:tc>
          <w:tcPr>
            <w:tcW w:w="1539" w:type="dxa"/>
          </w:tcPr>
          <w:p w14:paraId="1B4C1AE3" w14:textId="77777777" w:rsidR="001A5B06" w:rsidRDefault="001A5B06" w:rsidP="00EB7B24">
            <w:pPr>
              <w:jc w:val="center"/>
              <w:rPr>
                <w:rFonts w:cstheme="minorHAnsi"/>
                <w:sz w:val="24"/>
                <w:szCs w:val="24"/>
              </w:rPr>
            </w:pPr>
            <w:r>
              <w:rPr>
                <w:rFonts w:cstheme="minorHAnsi"/>
                <w:sz w:val="24"/>
                <w:szCs w:val="24"/>
              </w:rPr>
              <w:t>16.8%</w:t>
            </w:r>
          </w:p>
        </w:tc>
      </w:tr>
      <w:tr w:rsidR="001A5B06" w14:paraId="18B4C8B4" w14:textId="77777777" w:rsidTr="00EB7B24">
        <w:tc>
          <w:tcPr>
            <w:tcW w:w="1890" w:type="dxa"/>
          </w:tcPr>
          <w:p w14:paraId="73141CDE" w14:textId="77777777" w:rsidR="001A5B06" w:rsidRDefault="001A5B06" w:rsidP="00EB7B24">
            <w:pPr>
              <w:jc w:val="center"/>
              <w:rPr>
                <w:rFonts w:cstheme="minorHAnsi"/>
                <w:sz w:val="24"/>
                <w:szCs w:val="24"/>
              </w:rPr>
            </w:pPr>
            <w:r>
              <w:rPr>
                <w:rFonts w:cstheme="minorHAnsi"/>
                <w:sz w:val="24"/>
                <w:szCs w:val="24"/>
              </w:rPr>
              <w:t>++ Spring 2020</w:t>
            </w:r>
          </w:p>
        </w:tc>
        <w:tc>
          <w:tcPr>
            <w:tcW w:w="456" w:type="dxa"/>
          </w:tcPr>
          <w:p w14:paraId="65A4714C" w14:textId="77777777" w:rsidR="001A5B06" w:rsidRDefault="001A5B06" w:rsidP="00EB7B24">
            <w:pPr>
              <w:jc w:val="center"/>
              <w:rPr>
                <w:rFonts w:cstheme="minorHAnsi"/>
                <w:sz w:val="24"/>
                <w:szCs w:val="24"/>
              </w:rPr>
            </w:pPr>
            <w:r>
              <w:rPr>
                <w:rFonts w:cstheme="minorHAnsi"/>
                <w:sz w:val="24"/>
                <w:szCs w:val="24"/>
              </w:rPr>
              <w:t>6</w:t>
            </w:r>
          </w:p>
        </w:tc>
        <w:tc>
          <w:tcPr>
            <w:tcW w:w="576" w:type="dxa"/>
          </w:tcPr>
          <w:p w14:paraId="709B6C2A" w14:textId="77777777" w:rsidR="001A5B06" w:rsidRDefault="001A5B06" w:rsidP="00EB7B24">
            <w:pPr>
              <w:jc w:val="center"/>
              <w:rPr>
                <w:rFonts w:cstheme="minorHAnsi"/>
                <w:sz w:val="24"/>
                <w:szCs w:val="24"/>
              </w:rPr>
            </w:pPr>
            <w:r>
              <w:rPr>
                <w:rFonts w:cstheme="minorHAnsi"/>
                <w:sz w:val="24"/>
                <w:szCs w:val="24"/>
              </w:rPr>
              <w:t>9</w:t>
            </w:r>
          </w:p>
        </w:tc>
        <w:tc>
          <w:tcPr>
            <w:tcW w:w="498" w:type="dxa"/>
          </w:tcPr>
          <w:p w14:paraId="15917541" w14:textId="77777777" w:rsidR="001A5B06" w:rsidRDefault="001A5B06" w:rsidP="00EB7B24">
            <w:pPr>
              <w:jc w:val="center"/>
              <w:rPr>
                <w:rFonts w:cstheme="minorHAnsi"/>
                <w:sz w:val="24"/>
                <w:szCs w:val="24"/>
              </w:rPr>
            </w:pPr>
            <w:r>
              <w:rPr>
                <w:rFonts w:cstheme="minorHAnsi"/>
                <w:sz w:val="24"/>
                <w:szCs w:val="24"/>
              </w:rPr>
              <w:t>6</w:t>
            </w:r>
          </w:p>
        </w:tc>
        <w:tc>
          <w:tcPr>
            <w:tcW w:w="630" w:type="dxa"/>
          </w:tcPr>
          <w:p w14:paraId="084C0AF8" w14:textId="77777777" w:rsidR="001A5B06" w:rsidRDefault="001A5B06" w:rsidP="00EB7B24">
            <w:pPr>
              <w:jc w:val="center"/>
              <w:rPr>
                <w:rFonts w:cstheme="minorHAnsi"/>
                <w:sz w:val="24"/>
                <w:szCs w:val="24"/>
              </w:rPr>
            </w:pPr>
            <w:r>
              <w:rPr>
                <w:rFonts w:cstheme="minorHAnsi"/>
                <w:sz w:val="24"/>
                <w:szCs w:val="24"/>
              </w:rPr>
              <w:t>4(4%)</w:t>
            </w:r>
          </w:p>
        </w:tc>
        <w:tc>
          <w:tcPr>
            <w:tcW w:w="340" w:type="dxa"/>
          </w:tcPr>
          <w:p w14:paraId="684D8317" w14:textId="77777777" w:rsidR="001A5B06" w:rsidRDefault="001A5B06" w:rsidP="00EB7B24">
            <w:pPr>
              <w:jc w:val="center"/>
              <w:rPr>
                <w:rFonts w:cstheme="minorHAnsi"/>
                <w:sz w:val="24"/>
                <w:szCs w:val="24"/>
              </w:rPr>
            </w:pPr>
          </w:p>
        </w:tc>
        <w:tc>
          <w:tcPr>
            <w:tcW w:w="1260" w:type="dxa"/>
          </w:tcPr>
          <w:p w14:paraId="00AAEFA3" w14:textId="77777777" w:rsidR="001A5B06" w:rsidRDefault="001A5B06" w:rsidP="00EB7B24">
            <w:pPr>
              <w:jc w:val="center"/>
              <w:rPr>
                <w:rFonts w:cstheme="minorHAnsi"/>
                <w:sz w:val="24"/>
                <w:szCs w:val="24"/>
              </w:rPr>
            </w:pPr>
            <w:r>
              <w:rPr>
                <w:rFonts w:cstheme="minorHAnsi"/>
                <w:sz w:val="24"/>
                <w:szCs w:val="24"/>
              </w:rPr>
              <w:t>104</w:t>
            </w:r>
          </w:p>
        </w:tc>
        <w:tc>
          <w:tcPr>
            <w:tcW w:w="1350" w:type="dxa"/>
          </w:tcPr>
          <w:p w14:paraId="38B7F15E" w14:textId="77777777" w:rsidR="001A5B06" w:rsidRDefault="001A5B06" w:rsidP="00EB7B24">
            <w:pPr>
              <w:jc w:val="center"/>
              <w:rPr>
                <w:rFonts w:cstheme="minorHAnsi"/>
                <w:sz w:val="24"/>
                <w:szCs w:val="24"/>
              </w:rPr>
            </w:pPr>
            <w:r>
              <w:rPr>
                <w:rFonts w:cstheme="minorHAnsi"/>
                <w:sz w:val="24"/>
                <w:szCs w:val="24"/>
              </w:rPr>
              <w:t>83</w:t>
            </w:r>
          </w:p>
        </w:tc>
        <w:tc>
          <w:tcPr>
            <w:tcW w:w="1539" w:type="dxa"/>
          </w:tcPr>
          <w:p w14:paraId="03B382FD" w14:textId="77777777" w:rsidR="001A5B06" w:rsidRDefault="001A5B06" w:rsidP="00EB7B24">
            <w:pPr>
              <w:jc w:val="center"/>
              <w:rPr>
                <w:rFonts w:cstheme="minorHAnsi"/>
                <w:sz w:val="24"/>
                <w:szCs w:val="24"/>
              </w:rPr>
            </w:pPr>
            <w:r>
              <w:rPr>
                <w:rFonts w:cstheme="minorHAnsi"/>
                <w:sz w:val="24"/>
                <w:szCs w:val="24"/>
              </w:rPr>
              <w:t>14.4%</w:t>
            </w:r>
          </w:p>
        </w:tc>
      </w:tr>
      <w:tr w:rsidR="001A5B06" w14:paraId="4BBA763D" w14:textId="77777777" w:rsidTr="00EB7B24">
        <w:tc>
          <w:tcPr>
            <w:tcW w:w="1890" w:type="dxa"/>
          </w:tcPr>
          <w:p w14:paraId="6A845BFB" w14:textId="77777777" w:rsidR="001A5B06" w:rsidRDefault="001A5B06" w:rsidP="00EB7B24">
            <w:pPr>
              <w:jc w:val="center"/>
              <w:rPr>
                <w:rFonts w:cstheme="minorHAnsi"/>
                <w:sz w:val="24"/>
                <w:szCs w:val="24"/>
              </w:rPr>
            </w:pPr>
            <w:r>
              <w:rPr>
                <w:rFonts w:cstheme="minorHAnsi"/>
                <w:sz w:val="24"/>
                <w:szCs w:val="24"/>
              </w:rPr>
              <w:t>++Summer 2020</w:t>
            </w:r>
          </w:p>
        </w:tc>
        <w:tc>
          <w:tcPr>
            <w:tcW w:w="456" w:type="dxa"/>
          </w:tcPr>
          <w:p w14:paraId="72C9AE08" w14:textId="77777777" w:rsidR="001A5B06" w:rsidRDefault="001A5B06" w:rsidP="00EB7B24">
            <w:pPr>
              <w:jc w:val="center"/>
              <w:rPr>
                <w:rFonts w:cstheme="minorHAnsi"/>
                <w:sz w:val="24"/>
                <w:szCs w:val="24"/>
              </w:rPr>
            </w:pPr>
            <w:r>
              <w:rPr>
                <w:rFonts w:cstheme="minorHAnsi"/>
                <w:sz w:val="24"/>
                <w:szCs w:val="24"/>
              </w:rPr>
              <w:t>0</w:t>
            </w:r>
          </w:p>
        </w:tc>
        <w:tc>
          <w:tcPr>
            <w:tcW w:w="576" w:type="dxa"/>
          </w:tcPr>
          <w:p w14:paraId="3E2660CB" w14:textId="77777777" w:rsidR="001A5B06" w:rsidRDefault="001A5B06" w:rsidP="00EB7B24">
            <w:pPr>
              <w:jc w:val="center"/>
              <w:rPr>
                <w:rFonts w:cstheme="minorHAnsi"/>
                <w:sz w:val="24"/>
                <w:szCs w:val="24"/>
              </w:rPr>
            </w:pPr>
            <w:r>
              <w:rPr>
                <w:rFonts w:cstheme="minorHAnsi"/>
                <w:sz w:val="24"/>
                <w:szCs w:val="24"/>
              </w:rPr>
              <w:t>0</w:t>
            </w:r>
          </w:p>
        </w:tc>
        <w:tc>
          <w:tcPr>
            <w:tcW w:w="498" w:type="dxa"/>
          </w:tcPr>
          <w:p w14:paraId="615C1732" w14:textId="77777777" w:rsidR="001A5B06" w:rsidRDefault="001A5B06" w:rsidP="00EB7B24">
            <w:pPr>
              <w:jc w:val="center"/>
              <w:rPr>
                <w:rFonts w:cstheme="minorHAnsi"/>
                <w:sz w:val="24"/>
                <w:szCs w:val="24"/>
              </w:rPr>
            </w:pPr>
            <w:r>
              <w:rPr>
                <w:rFonts w:cstheme="minorHAnsi"/>
                <w:sz w:val="24"/>
                <w:szCs w:val="24"/>
              </w:rPr>
              <w:t>0</w:t>
            </w:r>
          </w:p>
        </w:tc>
        <w:tc>
          <w:tcPr>
            <w:tcW w:w="630" w:type="dxa"/>
          </w:tcPr>
          <w:p w14:paraId="24F2D5FF" w14:textId="77777777" w:rsidR="001A5B06" w:rsidRDefault="001A5B06" w:rsidP="00EB7B24">
            <w:pPr>
              <w:jc w:val="center"/>
              <w:rPr>
                <w:rFonts w:cstheme="minorHAnsi"/>
                <w:sz w:val="24"/>
                <w:szCs w:val="24"/>
              </w:rPr>
            </w:pPr>
            <w:r>
              <w:rPr>
                <w:rFonts w:cstheme="minorHAnsi"/>
                <w:sz w:val="24"/>
                <w:szCs w:val="24"/>
              </w:rPr>
              <w:t>0</w:t>
            </w:r>
          </w:p>
        </w:tc>
        <w:tc>
          <w:tcPr>
            <w:tcW w:w="340" w:type="dxa"/>
          </w:tcPr>
          <w:p w14:paraId="130862A5" w14:textId="77777777" w:rsidR="001A5B06" w:rsidRDefault="001A5B06" w:rsidP="00EB7B24">
            <w:pPr>
              <w:jc w:val="center"/>
              <w:rPr>
                <w:rFonts w:cstheme="minorHAnsi"/>
                <w:sz w:val="24"/>
                <w:szCs w:val="24"/>
              </w:rPr>
            </w:pPr>
          </w:p>
        </w:tc>
        <w:tc>
          <w:tcPr>
            <w:tcW w:w="1260" w:type="dxa"/>
          </w:tcPr>
          <w:p w14:paraId="43BD0099" w14:textId="77777777" w:rsidR="001A5B06" w:rsidRDefault="001A5B06" w:rsidP="00EB7B24">
            <w:pPr>
              <w:jc w:val="center"/>
              <w:rPr>
                <w:rFonts w:cstheme="minorHAnsi"/>
                <w:sz w:val="24"/>
                <w:szCs w:val="24"/>
              </w:rPr>
            </w:pPr>
            <w:r>
              <w:rPr>
                <w:rFonts w:cstheme="minorHAnsi"/>
                <w:sz w:val="24"/>
                <w:szCs w:val="24"/>
              </w:rPr>
              <w:t>11</w:t>
            </w:r>
          </w:p>
        </w:tc>
        <w:tc>
          <w:tcPr>
            <w:tcW w:w="1350" w:type="dxa"/>
          </w:tcPr>
          <w:p w14:paraId="44CCD150" w14:textId="77777777" w:rsidR="001A5B06" w:rsidRDefault="001A5B06" w:rsidP="00EB7B24">
            <w:pPr>
              <w:jc w:val="center"/>
              <w:rPr>
                <w:rFonts w:cstheme="minorHAnsi"/>
                <w:sz w:val="24"/>
                <w:szCs w:val="24"/>
              </w:rPr>
            </w:pPr>
            <w:r>
              <w:rPr>
                <w:rFonts w:cstheme="minorHAnsi"/>
                <w:sz w:val="24"/>
                <w:szCs w:val="24"/>
              </w:rPr>
              <w:t>11</w:t>
            </w:r>
          </w:p>
        </w:tc>
        <w:tc>
          <w:tcPr>
            <w:tcW w:w="1539" w:type="dxa"/>
          </w:tcPr>
          <w:p w14:paraId="0086BAD7" w14:textId="77777777" w:rsidR="001A5B06" w:rsidRDefault="001A5B06" w:rsidP="00EB7B24">
            <w:pPr>
              <w:jc w:val="center"/>
              <w:rPr>
                <w:rFonts w:cstheme="minorHAnsi"/>
                <w:sz w:val="24"/>
                <w:szCs w:val="24"/>
              </w:rPr>
            </w:pPr>
            <w:r>
              <w:rPr>
                <w:rFonts w:cstheme="minorHAnsi"/>
                <w:sz w:val="24"/>
                <w:szCs w:val="24"/>
              </w:rPr>
              <w:t>0%</w:t>
            </w:r>
          </w:p>
        </w:tc>
      </w:tr>
    </w:tbl>
    <w:p w14:paraId="5E2EAA0A" w14:textId="77777777" w:rsidR="001A5B06" w:rsidRDefault="001A5B06" w:rsidP="00512BCD">
      <w:pPr>
        <w:pStyle w:val="ListParagraph"/>
      </w:pPr>
    </w:p>
    <w:p w14:paraId="04592C7E" w14:textId="47D0E554" w:rsidR="00512BCD" w:rsidRPr="003F4D85" w:rsidRDefault="00512BCD" w:rsidP="00512BCD">
      <w:pPr>
        <w:pStyle w:val="ListParagraph"/>
        <w:rPr>
          <w:i/>
          <w:iCs/>
          <w:sz w:val="24"/>
          <w:szCs w:val="24"/>
        </w:rPr>
      </w:pPr>
      <w:r w:rsidRPr="00F627A0">
        <w:t xml:space="preserve">The </w:t>
      </w:r>
      <w:r>
        <w:t xml:space="preserve">data indicate that since the implementations of the no-cost textbook along with the course redesign strategies, the failure rate </w:t>
      </w:r>
      <w:r w:rsidR="00E37FD2">
        <w:t xml:space="preserve">(D and F) </w:t>
      </w:r>
      <w:r>
        <w:t>of College Algebra at Savannah State University has been minimized to an acceptable range of at most 2</w:t>
      </w:r>
      <w:r>
        <w:t>0</w:t>
      </w:r>
      <w:r>
        <w:t>%.</w:t>
      </w:r>
      <w:r w:rsidR="00E37FD2">
        <w:t xml:space="preserve">  This is a welcoming news for the department and our MATH 1111 students</w:t>
      </w:r>
      <w:r w:rsidR="00850D0C">
        <w:t xml:space="preserve"> because the department is on track to meeting the Fall 2021 deadline of continuous failure reduction.  It is also good news for the students in that an overwhelming majority of them are able to exit this gateway course and transition smoothly into their chosen major without delays. </w:t>
      </w:r>
      <w:r w:rsidR="00A16F5A">
        <w:t xml:space="preserve">One of the challenges, however, </w:t>
      </w:r>
      <w:r w:rsidR="001A5B06">
        <w:t xml:space="preserve">is </w:t>
      </w:r>
      <w:r w:rsidR="00A16F5A">
        <w:t>the increase in the</w:t>
      </w:r>
      <w:r w:rsidR="001A5B06">
        <w:t xml:space="preserve"> number of</w:t>
      </w:r>
      <w:r w:rsidR="00A16F5A">
        <w:t xml:space="preserve"> Incomplete (I) grade due to the COVID-19 pandemic.  If the trend continues it </w:t>
      </w:r>
      <w:r w:rsidR="001A5B06">
        <w:t xml:space="preserve">has the potential to </w:t>
      </w:r>
      <w:r w:rsidR="00A16F5A">
        <w:t>post some problem</w:t>
      </w:r>
      <w:r w:rsidR="001A5B06">
        <w:t>s</w:t>
      </w:r>
      <w:r w:rsidR="00A16F5A">
        <w:t xml:space="preserve">.    </w:t>
      </w:r>
    </w:p>
    <w:p w14:paraId="6E7CF058" w14:textId="4F3D3DDD" w:rsidR="00101A24" w:rsidRPr="004F2656" w:rsidRDefault="00101A24" w:rsidP="003F4D85">
      <w:pPr>
        <w:pStyle w:val="Heading1"/>
        <w:numPr>
          <w:ilvl w:val="0"/>
          <w:numId w:val="18"/>
        </w:numPr>
        <w:ind w:left="360"/>
      </w:pPr>
      <w:r w:rsidRPr="004F2656">
        <w:t>Quotes</w:t>
      </w:r>
    </w:p>
    <w:p w14:paraId="6B019FC3" w14:textId="335F6D37"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EEDA4C1" w14:textId="102F42F9" w:rsidR="00A16F5A" w:rsidRDefault="00A16F5A" w:rsidP="00A16F5A">
      <w:pPr>
        <w:pStyle w:val="ListParagraph"/>
        <w:numPr>
          <w:ilvl w:val="1"/>
          <w:numId w:val="18"/>
        </w:numPr>
        <w:rPr>
          <w:i/>
          <w:iCs/>
          <w:sz w:val="24"/>
          <w:szCs w:val="24"/>
        </w:rPr>
      </w:pPr>
      <w:r>
        <w:rPr>
          <w:i/>
          <w:iCs/>
          <w:sz w:val="24"/>
          <w:szCs w:val="24"/>
        </w:rPr>
        <w:t>“The course has helped me a lot making me closer to achieving my goals that I have set.”</w:t>
      </w:r>
    </w:p>
    <w:p w14:paraId="1019C3B6" w14:textId="2D40DD7E" w:rsidR="0072456B" w:rsidRDefault="0072456B" w:rsidP="0072456B">
      <w:pPr>
        <w:pStyle w:val="NormalWeb"/>
        <w:shd w:val="clear" w:color="auto" w:fill="F7F7FF"/>
        <w:spacing w:before="0" w:beforeAutospacing="0" w:after="0" w:afterAutospacing="0"/>
        <w:ind w:left="720"/>
        <w:rPr>
          <w:rFonts w:ascii="Trebuchet MS" w:hAnsi="Trebuchet MS"/>
          <w:color w:val="000000"/>
          <w:sz w:val="22"/>
          <w:szCs w:val="22"/>
        </w:rPr>
      </w:pPr>
      <w:r>
        <w:rPr>
          <w:rFonts w:ascii="Trebuchet MS" w:hAnsi="Trebuchet MS"/>
          <w:color w:val="000000"/>
          <w:sz w:val="22"/>
          <w:szCs w:val="22"/>
        </w:rPr>
        <w:t> </w:t>
      </w:r>
    </w:p>
    <w:p w14:paraId="4775C6DA" w14:textId="1D29340A" w:rsidR="0072456B" w:rsidRDefault="0072456B" w:rsidP="0072456B">
      <w:pPr>
        <w:pStyle w:val="NormalWeb"/>
        <w:numPr>
          <w:ilvl w:val="1"/>
          <w:numId w:val="18"/>
        </w:numPr>
        <w:shd w:val="clear" w:color="auto" w:fill="F7F7FF"/>
        <w:spacing w:before="0" w:beforeAutospacing="0" w:after="0" w:afterAutospacing="0"/>
        <w:rPr>
          <w:rFonts w:ascii="Trebuchet MS" w:hAnsi="Trebuchet MS"/>
          <w:color w:val="000000"/>
          <w:sz w:val="22"/>
          <w:szCs w:val="22"/>
        </w:rPr>
      </w:pPr>
      <w:r>
        <w:rPr>
          <w:rFonts w:ascii="Trebuchet MS" w:hAnsi="Trebuchet MS"/>
          <w:color w:val="000000"/>
          <w:sz w:val="22"/>
          <w:szCs w:val="22"/>
        </w:rPr>
        <w:t xml:space="preserve">As I am working on the selected questions, I would work out the problem completely and get the correct answer. However, once I submit the answer it is marked wrong. Although, the answer I answer I submit is the same once I click "Jump to answer". Is it because my given answer is formatted </w:t>
      </w:r>
      <w:proofErr w:type="gramStart"/>
      <w:r>
        <w:rPr>
          <w:rFonts w:ascii="Trebuchet MS" w:hAnsi="Trebuchet MS"/>
          <w:color w:val="000000"/>
          <w:sz w:val="22"/>
          <w:szCs w:val="22"/>
        </w:rPr>
        <w:t>differently ?</w:t>
      </w:r>
      <w:proofErr w:type="gramEnd"/>
    </w:p>
    <w:p w14:paraId="002901FC" w14:textId="77777777" w:rsidR="00A16F5A" w:rsidRPr="00A16F5A" w:rsidRDefault="00A16F5A" w:rsidP="00A16F5A">
      <w:pPr>
        <w:pStyle w:val="ListParagraph"/>
        <w:numPr>
          <w:ilvl w:val="1"/>
          <w:numId w:val="18"/>
        </w:numPr>
        <w:rPr>
          <w:i/>
          <w:iCs/>
          <w:sz w:val="24"/>
          <w:szCs w:val="24"/>
        </w:rPr>
      </w:pPr>
    </w:p>
    <w:p w14:paraId="2569A2E6" w14:textId="613FDB49" w:rsidR="00B90CC8" w:rsidRPr="00B90CC8" w:rsidRDefault="00F70B70" w:rsidP="003F4D85">
      <w:pPr>
        <w:pStyle w:val="Heading1"/>
        <w:numPr>
          <w:ilvl w:val="0"/>
          <w:numId w:val="18"/>
        </w:numPr>
        <w:ind w:left="360"/>
      </w:pPr>
      <w:r w:rsidRPr="004F2656">
        <w:lastRenderedPageBreak/>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41392FC" w:rsid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220718">
        <w:rPr>
          <w:sz w:val="24"/>
          <w:szCs w:val="24"/>
        </w:rPr>
        <w:t>5</w:t>
      </w:r>
      <w:r w:rsidR="00756F50">
        <w:rPr>
          <w:sz w:val="24"/>
          <w:szCs w:val="24"/>
        </w:rPr>
        <w:t>37</w:t>
      </w:r>
    </w:p>
    <w:p w14:paraId="7D82BCF9" w14:textId="4E54684E" w:rsidR="00C33017" w:rsidRPr="00684A25" w:rsidRDefault="00C33017" w:rsidP="00C45872">
      <w:pPr>
        <w:ind w:left="1080"/>
        <w:rPr>
          <w:sz w:val="24"/>
          <w:szCs w:val="24"/>
        </w:rPr>
      </w:pPr>
      <w:r>
        <w:rPr>
          <w:sz w:val="24"/>
          <w:szCs w:val="24"/>
        </w:rPr>
        <w:t>Total number of students who responded to the survey question</w:t>
      </w:r>
      <w:r w:rsidR="0072456B">
        <w:rPr>
          <w:sz w:val="24"/>
          <w:szCs w:val="24"/>
        </w:rPr>
        <w:t xml:space="preserve"> using the scale from 1 to 5</w:t>
      </w:r>
      <w:proofErr w:type="gramStart"/>
      <w:r>
        <w:rPr>
          <w:sz w:val="24"/>
          <w:szCs w:val="24"/>
        </w:rPr>
        <w:t xml:space="preserve">:  </w:t>
      </w:r>
      <w:r w:rsidRPr="0072456B">
        <w:rPr>
          <w:b/>
          <w:sz w:val="24"/>
          <w:szCs w:val="24"/>
        </w:rPr>
        <w:t>‘</w:t>
      </w:r>
      <w:proofErr w:type="gramEnd"/>
      <w:r w:rsidR="0072456B" w:rsidRPr="0072456B">
        <w:rPr>
          <w:b/>
          <w:sz w:val="24"/>
          <w:szCs w:val="24"/>
        </w:rPr>
        <w:t>T</w:t>
      </w:r>
      <w:r w:rsidRPr="0072456B">
        <w:rPr>
          <w:b/>
          <w:sz w:val="24"/>
          <w:szCs w:val="24"/>
        </w:rPr>
        <w:t>he textbook for the course is excellent’</w:t>
      </w:r>
      <w:r>
        <w:rPr>
          <w:sz w:val="24"/>
          <w:szCs w:val="24"/>
        </w:rPr>
        <w:t>:  222</w:t>
      </w:r>
      <w:r w:rsidR="0072456B">
        <w:rPr>
          <w:sz w:val="24"/>
          <w:szCs w:val="24"/>
        </w:rPr>
        <w:t xml:space="preserve"> responded with the total average rating of 4.449</w:t>
      </w:r>
      <w:r w:rsidR="00D943ED">
        <w:rPr>
          <w:sz w:val="24"/>
          <w:szCs w:val="24"/>
        </w:rPr>
        <w:t xml:space="preserve">.  It is very important to note that overall there were very few inherent software glitches report by students, but fortunately the instructors were </w:t>
      </w:r>
      <w:r w:rsidR="0020625C">
        <w:rPr>
          <w:sz w:val="24"/>
          <w:szCs w:val="24"/>
        </w:rPr>
        <w:t>knowledgeable to remedy the glitches.  Overall, we are confident that the students had a positive experience with the product.</w:t>
      </w:r>
      <w:r w:rsidR="00D943ED">
        <w:rPr>
          <w:sz w:val="24"/>
          <w:szCs w:val="24"/>
        </w:rPr>
        <w:t xml:space="preserve"> </w:t>
      </w:r>
    </w:p>
    <w:p w14:paraId="37FBFE79" w14:textId="6D85C454"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 xml:space="preserve">_______ % of ________ </w:t>
      </w:r>
      <w:r w:rsidR="001D51FD" w:rsidRPr="001D51FD">
        <w:rPr>
          <w:sz w:val="24"/>
          <w:szCs w:val="24"/>
        </w:rPr>
        <w:t xml:space="preserve">number of </w:t>
      </w:r>
      <w:r w:rsidRPr="001D51FD">
        <w:rPr>
          <w:sz w:val="24"/>
          <w:szCs w:val="24"/>
        </w:rPr>
        <w:t>respondents</w:t>
      </w:r>
    </w:p>
    <w:p w14:paraId="665A9B89" w14:textId="1569B4CC"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_______ % of ________ number of respondents</w:t>
      </w:r>
    </w:p>
    <w:p w14:paraId="4B4A604B" w14:textId="0FC185B7"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_______ % of ________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3A27700D" w:rsidR="00071B22" w:rsidRDefault="00CE0F2F" w:rsidP="003F4D85">
      <w:pPr>
        <w:pStyle w:val="ListParagraph"/>
        <w:numPr>
          <w:ilvl w:val="0"/>
          <w:numId w:val="16"/>
        </w:numPr>
        <w:ind w:left="1800"/>
        <w:rPr>
          <w:sz w:val="24"/>
          <w:szCs w:val="24"/>
        </w:rPr>
      </w:pPr>
      <w:r>
        <w:rPr>
          <w:sz w:val="24"/>
          <w:szCs w:val="24"/>
        </w:rPr>
        <w:t xml:space="preserve">In terms of academic year, the </w:t>
      </w:r>
      <w:r w:rsidR="009B5ABF">
        <w:rPr>
          <w:sz w:val="24"/>
          <w:szCs w:val="24"/>
        </w:rPr>
        <w:t>passing</w:t>
      </w:r>
      <w:r>
        <w:rPr>
          <w:sz w:val="24"/>
          <w:szCs w:val="24"/>
        </w:rPr>
        <w:t xml:space="preserve"> rate </w:t>
      </w:r>
      <w:r w:rsidR="009B5ABF">
        <w:rPr>
          <w:sz w:val="24"/>
          <w:szCs w:val="24"/>
        </w:rPr>
        <w:t>is</w:t>
      </w:r>
      <w:r>
        <w:rPr>
          <w:sz w:val="24"/>
          <w:szCs w:val="24"/>
        </w:rPr>
        <w:t xml:space="preserve"> as follows:  </w:t>
      </w:r>
      <w:r w:rsidR="009B5ABF">
        <w:rPr>
          <w:sz w:val="24"/>
          <w:szCs w:val="24"/>
        </w:rPr>
        <w:t>67.7%</w:t>
      </w:r>
      <w:r>
        <w:rPr>
          <w:sz w:val="24"/>
          <w:szCs w:val="24"/>
        </w:rPr>
        <w:t xml:space="preserve"> (2017 – 2018 academic year); </w:t>
      </w:r>
      <w:r w:rsidR="009B5ABF">
        <w:rPr>
          <w:sz w:val="24"/>
          <w:szCs w:val="24"/>
        </w:rPr>
        <w:t>84.7</w:t>
      </w:r>
      <w:r>
        <w:rPr>
          <w:sz w:val="24"/>
          <w:szCs w:val="24"/>
        </w:rPr>
        <w:t xml:space="preserve">% (2018 – 2019 academic year); </w:t>
      </w:r>
      <w:r w:rsidR="006973B1">
        <w:rPr>
          <w:sz w:val="24"/>
          <w:szCs w:val="24"/>
        </w:rPr>
        <w:t>87</w:t>
      </w:r>
      <w:r w:rsidR="009B5ABF">
        <w:rPr>
          <w:sz w:val="24"/>
          <w:szCs w:val="24"/>
        </w:rPr>
        <w:t>.3%</w:t>
      </w:r>
      <w:r>
        <w:rPr>
          <w:sz w:val="24"/>
          <w:szCs w:val="24"/>
        </w:rPr>
        <w:t xml:space="preserve"> (2019 – 2010 academic year) </w:t>
      </w:r>
      <w:r w:rsidR="00071B22">
        <w:rPr>
          <w:sz w:val="24"/>
          <w:szCs w:val="24"/>
        </w:rPr>
        <w:t>___</w:t>
      </w:r>
      <w:r w:rsidR="003F4D85">
        <w:rPr>
          <w:sz w:val="24"/>
          <w:szCs w:val="24"/>
        </w:rPr>
        <w:t xml:space="preserve"> </w:t>
      </w:r>
      <w:r w:rsidR="00071B22">
        <w:rPr>
          <w:sz w:val="24"/>
          <w:szCs w:val="24"/>
        </w:rPr>
        <w:t xml:space="preserve">Positive: Higher performance outcomes measured over </w:t>
      </w:r>
      <w:r w:rsidR="00071B22" w:rsidRPr="00071B22">
        <w:rPr>
          <w:sz w:val="24"/>
          <w:szCs w:val="24"/>
        </w:rPr>
        <w:t>previous semester(s)</w:t>
      </w:r>
      <w:r>
        <w:rPr>
          <w:sz w:val="24"/>
          <w:szCs w:val="24"/>
        </w:rPr>
        <w:t>.</w:t>
      </w:r>
    </w:p>
    <w:p w14:paraId="757A270F" w14:textId="77777777" w:rsidR="00CE0F2F" w:rsidRPr="00071B22" w:rsidRDefault="00CE0F2F" w:rsidP="00CE0F2F">
      <w:pPr>
        <w:pStyle w:val="ListParagraph"/>
        <w:ind w:left="1800"/>
        <w:rPr>
          <w:sz w:val="24"/>
          <w:szCs w:val="24"/>
        </w:rPr>
      </w:pP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513295E" w14:textId="77777777" w:rsidR="003F4D85" w:rsidRDefault="001E0EE3" w:rsidP="003F4D85">
      <w:pPr>
        <w:ind w:left="720"/>
        <w:rPr>
          <w:b/>
          <w:sz w:val="24"/>
          <w:szCs w:val="24"/>
        </w:rPr>
      </w:pPr>
      <w:r>
        <w:rPr>
          <w:b/>
          <w:sz w:val="24"/>
          <w:szCs w:val="24"/>
        </w:rPr>
        <w:t>Drop/Fail/Withdraw Rate: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1A049EF" w:rsidR="001E0EE3" w:rsidRPr="001E0EE3" w:rsidRDefault="001E0EE3" w:rsidP="003F4D85">
      <w:pPr>
        <w:ind w:left="1080"/>
        <w:rPr>
          <w:sz w:val="24"/>
          <w:szCs w:val="24"/>
        </w:rPr>
      </w:pPr>
      <w:r w:rsidRPr="001E0EE3">
        <w:rPr>
          <w:sz w:val="24"/>
          <w:szCs w:val="24"/>
        </w:rPr>
        <w:t xml:space="preserve">_______% of students, out of a total _______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261DAB2B" w:rsidR="00071B22" w:rsidRDefault="009B5ABF" w:rsidP="003F4D85">
      <w:pPr>
        <w:pStyle w:val="ListParagraph"/>
        <w:numPr>
          <w:ilvl w:val="0"/>
          <w:numId w:val="15"/>
        </w:numPr>
        <w:ind w:left="1800"/>
        <w:rPr>
          <w:sz w:val="24"/>
          <w:szCs w:val="24"/>
        </w:rPr>
      </w:pPr>
      <w:r>
        <w:rPr>
          <w:sz w:val="24"/>
          <w:szCs w:val="24"/>
        </w:rPr>
        <w:t>In terms of academic year, the failure rates are as follows:  39.1% (2017 – 2018 academic year); 15.8% (2018 – 2019 academic year); 15.6% (2019 – 2010 academic year)</w:t>
      </w:r>
      <w:r>
        <w:rPr>
          <w:sz w:val="24"/>
          <w:szCs w:val="24"/>
        </w:rPr>
        <w:t xml:space="preserve">.  </w:t>
      </w:r>
      <w:r w:rsidR="001E0EE3">
        <w:rPr>
          <w:sz w:val="24"/>
          <w:szCs w:val="24"/>
        </w:rPr>
        <w:t>___</w:t>
      </w:r>
      <w:r w:rsidR="003F4D85">
        <w:rPr>
          <w:sz w:val="24"/>
          <w:szCs w:val="24"/>
        </w:rPr>
        <w:t xml:space="preserve"> </w:t>
      </w:r>
      <w:r w:rsidR="00071B22" w:rsidRPr="00071B22">
        <w:rPr>
          <w:sz w:val="24"/>
          <w:szCs w:val="24"/>
        </w:rPr>
        <w:t xml:space="preserve">Positive: </w:t>
      </w:r>
      <w:r w:rsidR="001E0EE3">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5B3C44C5" w14:textId="77777777" w:rsidR="009B5ABF" w:rsidRPr="009B5ABF" w:rsidRDefault="009B5ABF" w:rsidP="009B5ABF">
      <w:pPr>
        <w:rPr>
          <w:sz w:val="24"/>
          <w:szCs w:val="24"/>
        </w:rPr>
      </w:pP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lastRenderedPageBreak/>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1277BD8A" w:rsidR="0073273B" w:rsidRPr="001A2C41"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593BEBD6" w14:textId="6AD34E66" w:rsidR="001A2C41" w:rsidRDefault="001A2C41" w:rsidP="001A2C41">
      <w:pPr>
        <w:pStyle w:val="ListParagraph"/>
      </w:pPr>
    </w:p>
    <w:p w14:paraId="4773A134" w14:textId="77777777" w:rsidR="001A2C41" w:rsidRDefault="001A2C41" w:rsidP="001A2C41">
      <w:pPr>
        <w:pStyle w:val="ListParagraph"/>
      </w:pPr>
    </w:p>
    <w:p w14:paraId="11049067" w14:textId="1DEAF168" w:rsidR="001A2C41" w:rsidRDefault="001A2C41" w:rsidP="001A2C41">
      <w:pPr>
        <w:pStyle w:val="ListParagraph"/>
      </w:pPr>
      <w:r>
        <w:t>A college algebra redesign initiative (at Savannah State University) enhanced by the adoption of an excellent no-cost textbook through the Affordable Learning Georgia Grant Program appears to have helped reverse the high failure rate (D and F grades) associated with College Algebra at Savannah State University in recent years, and the findings regarding the DFI rates are summarized in the following table:</w:t>
      </w:r>
    </w:p>
    <w:p w14:paraId="772475BD" w14:textId="77777777" w:rsidR="001A2C41" w:rsidRDefault="001A2C41" w:rsidP="001A2C41">
      <w:pPr>
        <w:pStyle w:val="ListParagraph"/>
      </w:pPr>
    </w:p>
    <w:tbl>
      <w:tblPr>
        <w:tblStyle w:val="TableGrid"/>
        <w:tblW w:w="0" w:type="auto"/>
        <w:tblInd w:w="355" w:type="dxa"/>
        <w:tblLook w:val="04A0" w:firstRow="1" w:lastRow="0" w:firstColumn="1" w:lastColumn="0" w:noHBand="0" w:noVBand="1"/>
      </w:tblPr>
      <w:tblGrid>
        <w:gridCol w:w="1890"/>
        <w:gridCol w:w="456"/>
        <w:gridCol w:w="576"/>
        <w:gridCol w:w="498"/>
        <w:gridCol w:w="816"/>
        <w:gridCol w:w="340"/>
        <w:gridCol w:w="1260"/>
        <w:gridCol w:w="1350"/>
        <w:gridCol w:w="1539"/>
      </w:tblGrid>
      <w:tr w:rsidR="001A5B06" w14:paraId="2EB70CA2" w14:textId="77777777" w:rsidTr="001A5B06">
        <w:tc>
          <w:tcPr>
            <w:tcW w:w="8725" w:type="dxa"/>
            <w:gridSpan w:val="9"/>
          </w:tcPr>
          <w:p w14:paraId="33FA91C5" w14:textId="77777777" w:rsidR="001A5B06" w:rsidRPr="00A17A26" w:rsidRDefault="001A5B06" w:rsidP="00EB7B24">
            <w:pPr>
              <w:jc w:val="center"/>
              <w:rPr>
                <w:rFonts w:cstheme="minorHAnsi"/>
                <w:b/>
                <w:sz w:val="28"/>
                <w:szCs w:val="28"/>
              </w:rPr>
            </w:pPr>
            <w:r w:rsidRPr="00A17A26">
              <w:rPr>
                <w:rFonts w:cstheme="minorHAnsi"/>
                <w:b/>
                <w:sz w:val="28"/>
                <w:szCs w:val="28"/>
              </w:rPr>
              <w:t>Note:  “Pass” in the table represents either ‘A’ or ‘B’ or ‘C’ grade</w:t>
            </w:r>
          </w:p>
        </w:tc>
      </w:tr>
      <w:tr w:rsidR="001A5B06" w14:paraId="3C215034" w14:textId="77777777" w:rsidTr="001A5B06">
        <w:tc>
          <w:tcPr>
            <w:tcW w:w="8725" w:type="dxa"/>
            <w:gridSpan w:val="9"/>
          </w:tcPr>
          <w:p w14:paraId="3F6C6311" w14:textId="77777777" w:rsidR="001A5B06" w:rsidRPr="0014066C" w:rsidRDefault="001A5B06" w:rsidP="00EB7B24">
            <w:pPr>
              <w:pStyle w:val="ListParagraph"/>
              <w:ind w:left="1440"/>
              <w:rPr>
                <w:rFonts w:cstheme="minorHAnsi"/>
                <w:b/>
                <w:sz w:val="28"/>
                <w:szCs w:val="28"/>
              </w:rPr>
            </w:pPr>
            <w:r>
              <w:rPr>
                <w:rFonts w:cstheme="minorHAnsi"/>
                <w:b/>
                <w:sz w:val="28"/>
                <w:szCs w:val="28"/>
              </w:rPr>
              <w:t>+ Represents pre No-cost textbook semester data</w:t>
            </w:r>
          </w:p>
        </w:tc>
      </w:tr>
      <w:tr w:rsidR="001A5B06" w14:paraId="7EA5CDB5" w14:textId="77777777" w:rsidTr="001A5B06">
        <w:tc>
          <w:tcPr>
            <w:tcW w:w="8725" w:type="dxa"/>
            <w:gridSpan w:val="9"/>
          </w:tcPr>
          <w:p w14:paraId="650EAA3D" w14:textId="77777777" w:rsidR="001A5B06" w:rsidRDefault="001A5B06" w:rsidP="00EB7B24">
            <w:pPr>
              <w:pStyle w:val="ListParagraph"/>
              <w:ind w:left="1440"/>
              <w:rPr>
                <w:rFonts w:cstheme="minorHAnsi"/>
                <w:b/>
                <w:sz w:val="28"/>
                <w:szCs w:val="28"/>
              </w:rPr>
            </w:pPr>
            <w:r>
              <w:rPr>
                <w:rFonts w:cstheme="minorHAnsi"/>
                <w:b/>
                <w:sz w:val="28"/>
                <w:szCs w:val="28"/>
              </w:rPr>
              <w:t>++ Represents post No-cost textbook semester data</w:t>
            </w:r>
          </w:p>
        </w:tc>
      </w:tr>
      <w:tr w:rsidR="001A5B06" w14:paraId="390DFEF1" w14:textId="77777777" w:rsidTr="001A5B06">
        <w:tc>
          <w:tcPr>
            <w:tcW w:w="8725" w:type="dxa"/>
            <w:gridSpan w:val="9"/>
          </w:tcPr>
          <w:p w14:paraId="39D19A02" w14:textId="77777777" w:rsidR="001A5B06" w:rsidRDefault="001A5B06" w:rsidP="00EB7B24">
            <w:pPr>
              <w:pStyle w:val="ListParagraph"/>
              <w:ind w:left="1440"/>
              <w:rPr>
                <w:rFonts w:cstheme="minorHAnsi"/>
                <w:b/>
                <w:sz w:val="28"/>
                <w:szCs w:val="28"/>
              </w:rPr>
            </w:pPr>
          </w:p>
        </w:tc>
      </w:tr>
      <w:tr w:rsidR="001A5B06" w14:paraId="61266D1D" w14:textId="77777777" w:rsidTr="001A5B06">
        <w:tc>
          <w:tcPr>
            <w:tcW w:w="8725" w:type="dxa"/>
            <w:gridSpan w:val="9"/>
          </w:tcPr>
          <w:p w14:paraId="68FA3093" w14:textId="77777777" w:rsidR="001A5B06" w:rsidRPr="00A17A26" w:rsidRDefault="001A5B06" w:rsidP="00EB7B24">
            <w:pPr>
              <w:jc w:val="center"/>
              <w:rPr>
                <w:rFonts w:cstheme="minorHAnsi"/>
                <w:b/>
                <w:sz w:val="40"/>
                <w:szCs w:val="40"/>
              </w:rPr>
            </w:pPr>
            <w:r w:rsidRPr="00A17A26">
              <w:rPr>
                <w:rFonts w:cstheme="minorHAnsi"/>
                <w:b/>
                <w:sz w:val="40"/>
                <w:szCs w:val="40"/>
              </w:rPr>
              <w:t>MATH 1111 (College Algebra)</w:t>
            </w:r>
          </w:p>
        </w:tc>
      </w:tr>
      <w:tr w:rsidR="001A5B06" w14:paraId="19E5CD8E" w14:textId="77777777" w:rsidTr="001A5B06">
        <w:tc>
          <w:tcPr>
            <w:tcW w:w="1890" w:type="dxa"/>
          </w:tcPr>
          <w:p w14:paraId="1A34D917" w14:textId="77777777" w:rsidR="001A5B06" w:rsidRPr="00A17A26" w:rsidRDefault="001A5B06" w:rsidP="00EB7B24">
            <w:pPr>
              <w:jc w:val="center"/>
              <w:rPr>
                <w:rFonts w:cstheme="minorHAnsi"/>
                <w:b/>
                <w:sz w:val="28"/>
                <w:szCs w:val="28"/>
              </w:rPr>
            </w:pPr>
            <w:r w:rsidRPr="00A17A26">
              <w:rPr>
                <w:rFonts w:cstheme="minorHAnsi"/>
                <w:b/>
                <w:sz w:val="28"/>
                <w:szCs w:val="28"/>
              </w:rPr>
              <w:t>Year</w:t>
            </w:r>
          </w:p>
        </w:tc>
        <w:tc>
          <w:tcPr>
            <w:tcW w:w="456" w:type="dxa"/>
          </w:tcPr>
          <w:p w14:paraId="7878FBE1" w14:textId="77777777" w:rsidR="001A5B06" w:rsidRPr="00A17A26" w:rsidRDefault="001A5B06" w:rsidP="00EB7B24">
            <w:pPr>
              <w:jc w:val="center"/>
              <w:rPr>
                <w:rFonts w:cstheme="minorHAnsi"/>
                <w:b/>
                <w:sz w:val="28"/>
                <w:szCs w:val="28"/>
              </w:rPr>
            </w:pPr>
            <w:r w:rsidRPr="00A17A26">
              <w:rPr>
                <w:rFonts w:cstheme="minorHAnsi"/>
                <w:b/>
                <w:sz w:val="28"/>
                <w:szCs w:val="28"/>
              </w:rPr>
              <w:t>D</w:t>
            </w:r>
          </w:p>
        </w:tc>
        <w:tc>
          <w:tcPr>
            <w:tcW w:w="576" w:type="dxa"/>
          </w:tcPr>
          <w:p w14:paraId="5463CD3D" w14:textId="77777777" w:rsidR="001A5B06" w:rsidRPr="00A17A26" w:rsidRDefault="001A5B06" w:rsidP="00EB7B24">
            <w:pPr>
              <w:jc w:val="center"/>
              <w:rPr>
                <w:rFonts w:cstheme="minorHAnsi"/>
                <w:b/>
                <w:sz w:val="28"/>
                <w:szCs w:val="28"/>
              </w:rPr>
            </w:pPr>
            <w:r w:rsidRPr="00A17A26">
              <w:rPr>
                <w:rFonts w:cstheme="minorHAnsi"/>
                <w:b/>
                <w:sz w:val="28"/>
                <w:szCs w:val="28"/>
              </w:rPr>
              <w:t>F</w:t>
            </w:r>
          </w:p>
        </w:tc>
        <w:tc>
          <w:tcPr>
            <w:tcW w:w="498" w:type="dxa"/>
          </w:tcPr>
          <w:p w14:paraId="13C58996" w14:textId="77777777" w:rsidR="001A5B06" w:rsidRPr="00A17A26" w:rsidRDefault="001A5B06" w:rsidP="00EB7B24">
            <w:pPr>
              <w:jc w:val="center"/>
              <w:rPr>
                <w:rFonts w:cstheme="minorHAnsi"/>
                <w:b/>
                <w:sz w:val="28"/>
                <w:szCs w:val="28"/>
              </w:rPr>
            </w:pPr>
            <w:r w:rsidRPr="00A17A26">
              <w:rPr>
                <w:rFonts w:cstheme="minorHAnsi"/>
                <w:b/>
                <w:sz w:val="28"/>
                <w:szCs w:val="28"/>
              </w:rPr>
              <w:t>I</w:t>
            </w:r>
          </w:p>
        </w:tc>
        <w:tc>
          <w:tcPr>
            <w:tcW w:w="816" w:type="dxa"/>
          </w:tcPr>
          <w:p w14:paraId="1C3BEC9A" w14:textId="77777777" w:rsidR="001A5B06" w:rsidRPr="00A17A26" w:rsidRDefault="001A5B06" w:rsidP="00EB7B24">
            <w:pPr>
              <w:jc w:val="center"/>
              <w:rPr>
                <w:rFonts w:cstheme="minorHAnsi"/>
                <w:b/>
                <w:sz w:val="28"/>
                <w:szCs w:val="28"/>
              </w:rPr>
            </w:pPr>
            <w:r>
              <w:rPr>
                <w:rFonts w:cstheme="minorHAnsi"/>
                <w:b/>
                <w:sz w:val="28"/>
                <w:szCs w:val="28"/>
              </w:rPr>
              <w:t>W</w:t>
            </w:r>
          </w:p>
        </w:tc>
        <w:tc>
          <w:tcPr>
            <w:tcW w:w="340" w:type="dxa"/>
          </w:tcPr>
          <w:p w14:paraId="41F090C2" w14:textId="77777777" w:rsidR="001A5B06" w:rsidRPr="00A17A26" w:rsidRDefault="001A5B06" w:rsidP="00EB7B24">
            <w:pPr>
              <w:jc w:val="center"/>
              <w:rPr>
                <w:rFonts w:cstheme="minorHAnsi"/>
                <w:b/>
                <w:sz w:val="28"/>
                <w:szCs w:val="28"/>
              </w:rPr>
            </w:pPr>
          </w:p>
        </w:tc>
        <w:tc>
          <w:tcPr>
            <w:tcW w:w="1260" w:type="dxa"/>
          </w:tcPr>
          <w:p w14:paraId="44EE40E3" w14:textId="77777777" w:rsidR="001A5B06" w:rsidRPr="00A17A26" w:rsidRDefault="001A5B06" w:rsidP="00EB7B24">
            <w:pPr>
              <w:jc w:val="center"/>
              <w:rPr>
                <w:rFonts w:cstheme="minorHAnsi"/>
                <w:b/>
                <w:sz w:val="28"/>
                <w:szCs w:val="28"/>
              </w:rPr>
            </w:pPr>
            <w:r w:rsidRPr="00A17A26">
              <w:rPr>
                <w:rFonts w:cstheme="minorHAnsi"/>
                <w:b/>
                <w:sz w:val="28"/>
                <w:szCs w:val="28"/>
              </w:rPr>
              <w:t>Total</w:t>
            </w:r>
          </w:p>
        </w:tc>
        <w:tc>
          <w:tcPr>
            <w:tcW w:w="1350" w:type="dxa"/>
          </w:tcPr>
          <w:p w14:paraId="033C1936" w14:textId="77777777" w:rsidR="001A5B06" w:rsidRPr="00A17A26" w:rsidRDefault="001A5B06" w:rsidP="00EB7B24">
            <w:pPr>
              <w:jc w:val="center"/>
              <w:rPr>
                <w:rFonts w:cstheme="minorHAnsi"/>
                <w:b/>
                <w:sz w:val="28"/>
                <w:szCs w:val="28"/>
              </w:rPr>
            </w:pPr>
            <w:r w:rsidRPr="00A17A26">
              <w:rPr>
                <w:rFonts w:cstheme="minorHAnsi"/>
                <w:b/>
                <w:sz w:val="28"/>
                <w:szCs w:val="28"/>
              </w:rPr>
              <w:t>Pass</w:t>
            </w:r>
          </w:p>
        </w:tc>
        <w:tc>
          <w:tcPr>
            <w:tcW w:w="1539" w:type="dxa"/>
          </w:tcPr>
          <w:p w14:paraId="339FF0CE" w14:textId="77777777" w:rsidR="001A5B06" w:rsidRPr="00A17A26" w:rsidRDefault="001A5B06" w:rsidP="00EB7B24">
            <w:pPr>
              <w:jc w:val="center"/>
              <w:rPr>
                <w:rFonts w:cstheme="minorHAnsi"/>
                <w:b/>
                <w:sz w:val="28"/>
                <w:szCs w:val="28"/>
              </w:rPr>
            </w:pPr>
            <w:r>
              <w:rPr>
                <w:rFonts w:cstheme="minorHAnsi"/>
                <w:b/>
                <w:sz w:val="28"/>
                <w:szCs w:val="28"/>
              </w:rPr>
              <w:t>Failure Rate</w:t>
            </w:r>
          </w:p>
        </w:tc>
      </w:tr>
      <w:tr w:rsidR="001A5B06" w14:paraId="659A24F3" w14:textId="77777777" w:rsidTr="001A5B06">
        <w:tc>
          <w:tcPr>
            <w:tcW w:w="1890" w:type="dxa"/>
          </w:tcPr>
          <w:p w14:paraId="200B8C57" w14:textId="77777777" w:rsidR="001A5B06" w:rsidRPr="00357ECA" w:rsidRDefault="001A5B06" w:rsidP="00EB7B24">
            <w:pPr>
              <w:jc w:val="center"/>
              <w:rPr>
                <w:rFonts w:cstheme="minorHAnsi"/>
                <w:sz w:val="24"/>
                <w:szCs w:val="24"/>
              </w:rPr>
            </w:pPr>
            <w:r>
              <w:rPr>
                <w:rFonts w:cstheme="minorHAnsi"/>
                <w:sz w:val="24"/>
                <w:szCs w:val="24"/>
              </w:rPr>
              <w:t xml:space="preserve">+ </w:t>
            </w:r>
            <w:r w:rsidRPr="00357ECA">
              <w:rPr>
                <w:rFonts w:cstheme="minorHAnsi"/>
                <w:sz w:val="24"/>
                <w:szCs w:val="24"/>
              </w:rPr>
              <w:t>Fall 2017</w:t>
            </w:r>
          </w:p>
        </w:tc>
        <w:tc>
          <w:tcPr>
            <w:tcW w:w="456" w:type="dxa"/>
          </w:tcPr>
          <w:p w14:paraId="7613B194" w14:textId="77777777" w:rsidR="001A5B06" w:rsidRDefault="001A5B06" w:rsidP="00EB7B24">
            <w:pPr>
              <w:jc w:val="center"/>
              <w:rPr>
                <w:rFonts w:cstheme="minorHAnsi"/>
                <w:sz w:val="24"/>
                <w:szCs w:val="24"/>
              </w:rPr>
            </w:pPr>
            <w:r>
              <w:rPr>
                <w:rFonts w:cstheme="minorHAnsi"/>
                <w:sz w:val="24"/>
                <w:szCs w:val="24"/>
              </w:rPr>
              <w:t>78</w:t>
            </w:r>
          </w:p>
        </w:tc>
        <w:tc>
          <w:tcPr>
            <w:tcW w:w="576" w:type="dxa"/>
          </w:tcPr>
          <w:p w14:paraId="6C908202" w14:textId="77777777" w:rsidR="001A5B06" w:rsidRDefault="001A5B06" w:rsidP="00EB7B24">
            <w:pPr>
              <w:jc w:val="center"/>
              <w:rPr>
                <w:rFonts w:cstheme="minorHAnsi"/>
                <w:sz w:val="24"/>
                <w:szCs w:val="24"/>
              </w:rPr>
            </w:pPr>
            <w:r>
              <w:rPr>
                <w:rFonts w:cstheme="minorHAnsi"/>
                <w:sz w:val="24"/>
                <w:szCs w:val="24"/>
              </w:rPr>
              <w:t>122</w:t>
            </w:r>
          </w:p>
        </w:tc>
        <w:tc>
          <w:tcPr>
            <w:tcW w:w="498" w:type="dxa"/>
          </w:tcPr>
          <w:p w14:paraId="7ED881AE" w14:textId="77777777" w:rsidR="001A5B06" w:rsidRDefault="001A5B06" w:rsidP="00EB7B24">
            <w:pPr>
              <w:jc w:val="center"/>
              <w:rPr>
                <w:rFonts w:cstheme="minorHAnsi"/>
                <w:sz w:val="24"/>
                <w:szCs w:val="24"/>
              </w:rPr>
            </w:pPr>
            <w:r>
              <w:rPr>
                <w:rFonts w:cstheme="minorHAnsi"/>
                <w:sz w:val="24"/>
                <w:szCs w:val="24"/>
              </w:rPr>
              <w:t>0</w:t>
            </w:r>
          </w:p>
        </w:tc>
        <w:tc>
          <w:tcPr>
            <w:tcW w:w="816" w:type="dxa"/>
          </w:tcPr>
          <w:p w14:paraId="52F3F342"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73C81F56" w14:textId="77777777" w:rsidR="001A5B06" w:rsidRDefault="001A5B06" w:rsidP="00EB7B24">
            <w:pPr>
              <w:jc w:val="center"/>
              <w:rPr>
                <w:rFonts w:cstheme="minorHAnsi"/>
                <w:sz w:val="24"/>
                <w:szCs w:val="24"/>
              </w:rPr>
            </w:pPr>
          </w:p>
        </w:tc>
        <w:tc>
          <w:tcPr>
            <w:tcW w:w="1260" w:type="dxa"/>
          </w:tcPr>
          <w:p w14:paraId="5F6729D1" w14:textId="77777777" w:rsidR="001A5B06" w:rsidRDefault="001A5B06" w:rsidP="00EB7B24">
            <w:pPr>
              <w:jc w:val="center"/>
              <w:rPr>
                <w:rFonts w:cstheme="minorHAnsi"/>
                <w:sz w:val="24"/>
                <w:szCs w:val="24"/>
              </w:rPr>
            </w:pPr>
            <w:r>
              <w:rPr>
                <w:rFonts w:cstheme="minorHAnsi"/>
                <w:sz w:val="24"/>
                <w:szCs w:val="24"/>
              </w:rPr>
              <w:t>705</w:t>
            </w:r>
          </w:p>
        </w:tc>
        <w:tc>
          <w:tcPr>
            <w:tcW w:w="1350" w:type="dxa"/>
          </w:tcPr>
          <w:p w14:paraId="13BC0F45" w14:textId="77777777" w:rsidR="001A5B06" w:rsidRDefault="001A5B06" w:rsidP="00EB7B24">
            <w:pPr>
              <w:jc w:val="center"/>
              <w:rPr>
                <w:rFonts w:cstheme="minorHAnsi"/>
                <w:sz w:val="24"/>
                <w:szCs w:val="24"/>
              </w:rPr>
            </w:pPr>
            <w:r>
              <w:rPr>
                <w:rFonts w:cstheme="minorHAnsi"/>
                <w:sz w:val="24"/>
                <w:szCs w:val="24"/>
              </w:rPr>
              <w:t>505</w:t>
            </w:r>
          </w:p>
        </w:tc>
        <w:tc>
          <w:tcPr>
            <w:tcW w:w="1539" w:type="dxa"/>
          </w:tcPr>
          <w:p w14:paraId="30A28376" w14:textId="77777777" w:rsidR="001A5B06" w:rsidRDefault="001A5B06" w:rsidP="00EB7B24">
            <w:pPr>
              <w:jc w:val="center"/>
              <w:rPr>
                <w:rFonts w:cstheme="minorHAnsi"/>
                <w:sz w:val="24"/>
                <w:szCs w:val="24"/>
              </w:rPr>
            </w:pPr>
            <w:r>
              <w:rPr>
                <w:rFonts w:cstheme="minorHAnsi"/>
                <w:sz w:val="24"/>
                <w:szCs w:val="24"/>
              </w:rPr>
              <w:t>42.5%</w:t>
            </w:r>
          </w:p>
        </w:tc>
      </w:tr>
      <w:tr w:rsidR="001A5B06" w14:paraId="43757181" w14:textId="77777777" w:rsidTr="001A5B06">
        <w:tc>
          <w:tcPr>
            <w:tcW w:w="1890" w:type="dxa"/>
          </w:tcPr>
          <w:p w14:paraId="65886B5F" w14:textId="77777777" w:rsidR="001A5B06" w:rsidRPr="00357ECA" w:rsidRDefault="001A5B06" w:rsidP="00EB7B24">
            <w:pPr>
              <w:jc w:val="center"/>
              <w:rPr>
                <w:rFonts w:cstheme="minorHAnsi"/>
                <w:sz w:val="24"/>
                <w:szCs w:val="24"/>
              </w:rPr>
            </w:pPr>
            <w:r>
              <w:rPr>
                <w:rFonts w:cstheme="minorHAnsi"/>
                <w:sz w:val="24"/>
                <w:szCs w:val="24"/>
              </w:rPr>
              <w:t xml:space="preserve">+ </w:t>
            </w:r>
            <w:r w:rsidRPr="00357ECA">
              <w:rPr>
                <w:rFonts w:cstheme="minorHAnsi"/>
                <w:sz w:val="24"/>
                <w:szCs w:val="24"/>
              </w:rPr>
              <w:t>Spring 2018</w:t>
            </w:r>
          </w:p>
        </w:tc>
        <w:tc>
          <w:tcPr>
            <w:tcW w:w="456" w:type="dxa"/>
          </w:tcPr>
          <w:p w14:paraId="3D8C0756" w14:textId="77777777" w:rsidR="001A5B06" w:rsidRDefault="001A5B06" w:rsidP="00EB7B24">
            <w:pPr>
              <w:jc w:val="center"/>
              <w:rPr>
                <w:rFonts w:cstheme="minorHAnsi"/>
                <w:sz w:val="24"/>
                <w:szCs w:val="24"/>
              </w:rPr>
            </w:pPr>
            <w:r>
              <w:rPr>
                <w:rFonts w:cstheme="minorHAnsi"/>
                <w:sz w:val="24"/>
                <w:szCs w:val="24"/>
              </w:rPr>
              <w:t>41</w:t>
            </w:r>
          </w:p>
        </w:tc>
        <w:tc>
          <w:tcPr>
            <w:tcW w:w="576" w:type="dxa"/>
          </w:tcPr>
          <w:p w14:paraId="40023054" w14:textId="77777777" w:rsidR="001A5B06" w:rsidRDefault="001A5B06" w:rsidP="00EB7B24">
            <w:pPr>
              <w:jc w:val="center"/>
              <w:rPr>
                <w:rFonts w:cstheme="minorHAnsi"/>
                <w:sz w:val="24"/>
                <w:szCs w:val="24"/>
              </w:rPr>
            </w:pPr>
            <w:r>
              <w:rPr>
                <w:rFonts w:cstheme="minorHAnsi"/>
                <w:sz w:val="24"/>
                <w:szCs w:val="24"/>
              </w:rPr>
              <w:t>56</w:t>
            </w:r>
          </w:p>
        </w:tc>
        <w:tc>
          <w:tcPr>
            <w:tcW w:w="498" w:type="dxa"/>
          </w:tcPr>
          <w:p w14:paraId="2F04E84C" w14:textId="77777777" w:rsidR="001A5B06" w:rsidRDefault="001A5B06" w:rsidP="00EB7B24">
            <w:pPr>
              <w:jc w:val="center"/>
              <w:rPr>
                <w:rFonts w:cstheme="minorHAnsi"/>
                <w:sz w:val="24"/>
                <w:szCs w:val="24"/>
              </w:rPr>
            </w:pPr>
            <w:r>
              <w:rPr>
                <w:rFonts w:cstheme="minorHAnsi"/>
                <w:sz w:val="24"/>
                <w:szCs w:val="24"/>
              </w:rPr>
              <w:t>1</w:t>
            </w:r>
          </w:p>
        </w:tc>
        <w:tc>
          <w:tcPr>
            <w:tcW w:w="816" w:type="dxa"/>
          </w:tcPr>
          <w:p w14:paraId="6A508705"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2E58BBBC" w14:textId="77777777" w:rsidR="001A5B06" w:rsidRDefault="001A5B06" w:rsidP="00EB7B24">
            <w:pPr>
              <w:jc w:val="center"/>
              <w:rPr>
                <w:rFonts w:cstheme="minorHAnsi"/>
                <w:sz w:val="24"/>
                <w:szCs w:val="24"/>
              </w:rPr>
            </w:pPr>
          </w:p>
        </w:tc>
        <w:tc>
          <w:tcPr>
            <w:tcW w:w="1260" w:type="dxa"/>
          </w:tcPr>
          <w:p w14:paraId="1D26EAE0" w14:textId="77777777" w:rsidR="001A5B06" w:rsidRDefault="001A5B06" w:rsidP="00EB7B24">
            <w:pPr>
              <w:jc w:val="center"/>
              <w:rPr>
                <w:rFonts w:cstheme="minorHAnsi"/>
                <w:sz w:val="24"/>
                <w:szCs w:val="24"/>
              </w:rPr>
            </w:pPr>
            <w:r>
              <w:rPr>
                <w:rFonts w:cstheme="minorHAnsi"/>
                <w:sz w:val="24"/>
                <w:szCs w:val="24"/>
              </w:rPr>
              <w:t>271</w:t>
            </w:r>
          </w:p>
        </w:tc>
        <w:tc>
          <w:tcPr>
            <w:tcW w:w="1350" w:type="dxa"/>
          </w:tcPr>
          <w:p w14:paraId="790D431A" w14:textId="77777777" w:rsidR="001A5B06" w:rsidRDefault="001A5B06" w:rsidP="00EB7B24">
            <w:pPr>
              <w:jc w:val="center"/>
              <w:rPr>
                <w:rFonts w:cstheme="minorHAnsi"/>
                <w:sz w:val="24"/>
                <w:szCs w:val="24"/>
              </w:rPr>
            </w:pPr>
            <w:r>
              <w:rPr>
                <w:rFonts w:cstheme="minorHAnsi"/>
                <w:sz w:val="24"/>
                <w:szCs w:val="24"/>
              </w:rPr>
              <w:t>173</w:t>
            </w:r>
          </w:p>
        </w:tc>
        <w:tc>
          <w:tcPr>
            <w:tcW w:w="1539" w:type="dxa"/>
          </w:tcPr>
          <w:p w14:paraId="0CD43156" w14:textId="77777777" w:rsidR="001A5B06" w:rsidRDefault="001A5B06" w:rsidP="00EB7B24">
            <w:pPr>
              <w:jc w:val="center"/>
              <w:rPr>
                <w:rFonts w:cstheme="minorHAnsi"/>
                <w:sz w:val="24"/>
                <w:szCs w:val="24"/>
              </w:rPr>
            </w:pPr>
            <w:r>
              <w:rPr>
                <w:rFonts w:cstheme="minorHAnsi"/>
                <w:sz w:val="24"/>
                <w:szCs w:val="24"/>
              </w:rPr>
              <w:t>35.7%</w:t>
            </w:r>
          </w:p>
        </w:tc>
      </w:tr>
      <w:tr w:rsidR="001A5B06" w14:paraId="5F98D26F" w14:textId="77777777" w:rsidTr="001A5B06">
        <w:tc>
          <w:tcPr>
            <w:tcW w:w="1890" w:type="dxa"/>
          </w:tcPr>
          <w:p w14:paraId="0B9043B9" w14:textId="77777777" w:rsidR="001A5B06" w:rsidRDefault="001A5B06" w:rsidP="00EB7B24">
            <w:pPr>
              <w:jc w:val="center"/>
              <w:rPr>
                <w:rFonts w:cstheme="minorHAnsi"/>
                <w:sz w:val="24"/>
                <w:szCs w:val="24"/>
              </w:rPr>
            </w:pPr>
            <w:r>
              <w:rPr>
                <w:rFonts w:cstheme="minorHAnsi"/>
                <w:sz w:val="24"/>
                <w:szCs w:val="24"/>
              </w:rPr>
              <w:t>+ Fall 2018</w:t>
            </w:r>
          </w:p>
        </w:tc>
        <w:tc>
          <w:tcPr>
            <w:tcW w:w="456" w:type="dxa"/>
          </w:tcPr>
          <w:p w14:paraId="3882CC3A" w14:textId="77777777" w:rsidR="001A5B06" w:rsidRDefault="001A5B06" w:rsidP="00EB7B24">
            <w:pPr>
              <w:jc w:val="center"/>
              <w:rPr>
                <w:rFonts w:cstheme="minorHAnsi"/>
                <w:sz w:val="24"/>
                <w:szCs w:val="24"/>
              </w:rPr>
            </w:pPr>
            <w:r>
              <w:rPr>
                <w:rFonts w:cstheme="minorHAnsi"/>
                <w:sz w:val="24"/>
                <w:szCs w:val="24"/>
              </w:rPr>
              <w:t>37</w:t>
            </w:r>
          </w:p>
        </w:tc>
        <w:tc>
          <w:tcPr>
            <w:tcW w:w="576" w:type="dxa"/>
          </w:tcPr>
          <w:p w14:paraId="0CE19382" w14:textId="77777777" w:rsidR="001A5B06" w:rsidRDefault="001A5B06" w:rsidP="00EB7B24">
            <w:pPr>
              <w:jc w:val="center"/>
              <w:rPr>
                <w:rFonts w:cstheme="minorHAnsi"/>
                <w:sz w:val="24"/>
                <w:szCs w:val="24"/>
              </w:rPr>
            </w:pPr>
            <w:r>
              <w:rPr>
                <w:rFonts w:cstheme="minorHAnsi"/>
                <w:sz w:val="24"/>
                <w:szCs w:val="24"/>
              </w:rPr>
              <w:t>75</w:t>
            </w:r>
          </w:p>
        </w:tc>
        <w:tc>
          <w:tcPr>
            <w:tcW w:w="498" w:type="dxa"/>
          </w:tcPr>
          <w:p w14:paraId="44E48BD0" w14:textId="77777777" w:rsidR="001A5B06" w:rsidRDefault="001A5B06" w:rsidP="00EB7B24">
            <w:pPr>
              <w:jc w:val="center"/>
              <w:rPr>
                <w:rFonts w:cstheme="minorHAnsi"/>
                <w:sz w:val="24"/>
                <w:szCs w:val="24"/>
              </w:rPr>
            </w:pPr>
            <w:r>
              <w:rPr>
                <w:rFonts w:cstheme="minorHAnsi"/>
                <w:sz w:val="24"/>
                <w:szCs w:val="24"/>
              </w:rPr>
              <w:t>0</w:t>
            </w:r>
          </w:p>
        </w:tc>
        <w:tc>
          <w:tcPr>
            <w:tcW w:w="816" w:type="dxa"/>
          </w:tcPr>
          <w:p w14:paraId="0ED47D23"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08D161A3" w14:textId="77777777" w:rsidR="001A5B06" w:rsidRDefault="001A5B06" w:rsidP="00EB7B24">
            <w:pPr>
              <w:jc w:val="center"/>
              <w:rPr>
                <w:rFonts w:cstheme="minorHAnsi"/>
                <w:sz w:val="24"/>
                <w:szCs w:val="24"/>
              </w:rPr>
            </w:pPr>
          </w:p>
        </w:tc>
        <w:tc>
          <w:tcPr>
            <w:tcW w:w="1260" w:type="dxa"/>
          </w:tcPr>
          <w:p w14:paraId="639B6D59" w14:textId="77777777" w:rsidR="001A5B06" w:rsidRDefault="001A5B06" w:rsidP="00EB7B24">
            <w:pPr>
              <w:jc w:val="center"/>
              <w:rPr>
                <w:rFonts w:cstheme="minorHAnsi"/>
                <w:sz w:val="24"/>
                <w:szCs w:val="24"/>
              </w:rPr>
            </w:pPr>
            <w:r>
              <w:rPr>
                <w:rFonts w:cstheme="minorHAnsi"/>
                <w:sz w:val="24"/>
                <w:szCs w:val="24"/>
              </w:rPr>
              <w:t>712</w:t>
            </w:r>
          </w:p>
        </w:tc>
        <w:tc>
          <w:tcPr>
            <w:tcW w:w="1350" w:type="dxa"/>
          </w:tcPr>
          <w:p w14:paraId="5CBEE5F1" w14:textId="77777777" w:rsidR="001A5B06" w:rsidRDefault="001A5B06" w:rsidP="00EB7B24">
            <w:pPr>
              <w:jc w:val="center"/>
              <w:rPr>
                <w:rFonts w:cstheme="minorHAnsi"/>
                <w:sz w:val="24"/>
                <w:szCs w:val="24"/>
              </w:rPr>
            </w:pPr>
            <w:r>
              <w:rPr>
                <w:rFonts w:cstheme="minorHAnsi"/>
                <w:sz w:val="24"/>
                <w:szCs w:val="24"/>
              </w:rPr>
              <w:t>600</w:t>
            </w:r>
          </w:p>
        </w:tc>
        <w:tc>
          <w:tcPr>
            <w:tcW w:w="1539" w:type="dxa"/>
          </w:tcPr>
          <w:p w14:paraId="22883CFF" w14:textId="77777777" w:rsidR="001A5B06" w:rsidRDefault="001A5B06" w:rsidP="00EB7B24">
            <w:pPr>
              <w:jc w:val="center"/>
              <w:rPr>
                <w:rFonts w:cstheme="minorHAnsi"/>
                <w:sz w:val="24"/>
                <w:szCs w:val="24"/>
              </w:rPr>
            </w:pPr>
            <w:r>
              <w:rPr>
                <w:rFonts w:cstheme="minorHAnsi"/>
                <w:sz w:val="24"/>
                <w:szCs w:val="24"/>
              </w:rPr>
              <w:t>15.7%</w:t>
            </w:r>
          </w:p>
        </w:tc>
      </w:tr>
      <w:tr w:rsidR="001A5B06" w14:paraId="452CF00D" w14:textId="77777777" w:rsidTr="001A5B06">
        <w:tc>
          <w:tcPr>
            <w:tcW w:w="1890" w:type="dxa"/>
          </w:tcPr>
          <w:p w14:paraId="04CDD753" w14:textId="77777777" w:rsidR="001A5B06" w:rsidRDefault="001A5B06" w:rsidP="00EB7B24">
            <w:pPr>
              <w:jc w:val="center"/>
              <w:rPr>
                <w:rFonts w:cstheme="minorHAnsi"/>
                <w:sz w:val="24"/>
                <w:szCs w:val="24"/>
              </w:rPr>
            </w:pPr>
            <w:r>
              <w:rPr>
                <w:rFonts w:cstheme="minorHAnsi"/>
                <w:sz w:val="24"/>
                <w:szCs w:val="24"/>
              </w:rPr>
              <w:t>+ Spring 2019</w:t>
            </w:r>
          </w:p>
        </w:tc>
        <w:tc>
          <w:tcPr>
            <w:tcW w:w="456" w:type="dxa"/>
          </w:tcPr>
          <w:p w14:paraId="67CA4D50" w14:textId="77777777" w:rsidR="001A5B06" w:rsidRDefault="001A5B06" w:rsidP="00EB7B24">
            <w:pPr>
              <w:jc w:val="center"/>
              <w:rPr>
                <w:rFonts w:cstheme="minorHAnsi"/>
                <w:sz w:val="24"/>
                <w:szCs w:val="24"/>
              </w:rPr>
            </w:pPr>
            <w:r>
              <w:rPr>
                <w:rFonts w:cstheme="minorHAnsi"/>
                <w:sz w:val="24"/>
                <w:szCs w:val="24"/>
              </w:rPr>
              <w:t>10</w:t>
            </w:r>
          </w:p>
        </w:tc>
        <w:tc>
          <w:tcPr>
            <w:tcW w:w="576" w:type="dxa"/>
          </w:tcPr>
          <w:p w14:paraId="5704DED0" w14:textId="77777777" w:rsidR="001A5B06" w:rsidRDefault="001A5B06" w:rsidP="00EB7B24">
            <w:pPr>
              <w:jc w:val="center"/>
              <w:rPr>
                <w:rFonts w:cstheme="minorHAnsi"/>
                <w:sz w:val="24"/>
                <w:szCs w:val="24"/>
              </w:rPr>
            </w:pPr>
            <w:r>
              <w:rPr>
                <w:rFonts w:cstheme="minorHAnsi"/>
                <w:sz w:val="24"/>
                <w:szCs w:val="24"/>
              </w:rPr>
              <w:t>15</w:t>
            </w:r>
          </w:p>
        </w:tc>
        <w:tc>
          <w:tcPr>
            <w:tcW w:w="498" w:type="dxa"/>
          </w:tcPr>
          <w:p w14:paraId="70E4A8DA" w14:textId="77777777" w:rsidR="001A5B06" w:rsidRDefault="001A5B06" w:rsidP="00EB7B24">
            <w:pPr>
              <w:jc w:val="center"/>
              <w:rPr>
                <w:rFonts w:cstheme="minorHAnsi"/>
                <w:sz w:val="24"/>
                <w:szCs w:val="24"/>
              </w:rPr>
            </w:pPr>
            <w:r>
              <w:rPr>
                <w:rFonts w:cstheme="minorHAnsi"/>
                <w:sz w:val="24"/>
                <w:szCs w:val="24"/>
              </w:rPr>
              <w:t>0</w:t>
            </w:r>
          </w:p>
        </w:tc>
        <w:tc>
          <w:tcPr>
            <w:tcW w:w="816" w:type="dxa"/>
          </w:tcPr>
          <w:p w14:paraId="0F2EA47D"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0B691B77" w14:textId="77777777" w:rsidR="001A5B06" w:rsidRDefault="001A5B06" w:rsidP="00EB7B24">
            <w:pPr>
              <w:jc w:val="center"/>
              <w:rPr>
                <w:rFonts w:cstheme="minorHAnsi"/>
                <w:sz w:val="24"/>
                <w:szCs w:val="24"/>
              </w:rPr>
            </w:pPr>
          </w:p>
        </w:tc>
        <w:tc>
          <w:tcPr>
            <w:tcW w:w="1260" w:type="dxa"/>
          </w:tcPr>
          <w:p w14:paraId="5A4F65B7" w14:textId="77777777" w:rsidR="001A5B06" w:rsidRDefault="001A5B06" w:rsidP="00EB7B24">
            <w:pPr>
              <w:jc w:val="center"/>
              <w:rPr>
                <w:rFonts w:cstheme="minorHAnsi"/>
                <w:sz w:val="24"/>
                <w:szCs w:val="24"/>
              </w:rPr>
            </w:pPr>
            <w:r>
              <w:rPr>
                <w:rFonts w:cstheme="minorHAnsi"/>
                <w:sz w:val="24"/>
                <w:szCs w:val="24"/>
              </w:rPr>
              <w:t>157</w:t>
            </w:r>
          </w:p>
        </w:tc>
        <w:tc>
          <w:tcPr>
            <w:tcW w:w="1350" w:type="dxa"/>
          </w:tcPr>
          <w:p w14:paraId="32FE143E" w14:textId="77777777" w:rsidR="001A5B06" w:rsidRDefault="001A5B06" w:rsidP="00EB7B24">
            <w:pPr>
              <w:jc w:val="center"/>
              <w:rPr>
                <w:rFonts w:cstheme="minorHAnsi"/>
                <w:sz w:val="24"/>
                <w:szCs w:val="24"/>
              </w:rPr>
            </w:pPr>
            <w:r>
              <w:rPr>
                <w:rFonts w:cstheme="minorHAnsi"/>
                <w:sz w:val="24"/>
                <w:szCs w:val="24"/>
              </w:rPr>
              <w:t>132</w:t>
            </w:r>
          </w:p>
        </w:tc>
        <w:tc>
          <w:tcPr>
            <w:tcW w:w="1539" w:type="dxa"/>
          </w:tcPr>
          <w:p w14:paraId="585B648A" w14:textId="77777777" w:rsidR="001A5B06" w:rsidRDefault="001A5B06" w:rsidP="00EB7B24">
            <w:pPr>
              <w:jc w:val="center"/>
              <w:rPr>
                <w:rFonts w:cstheme="minorHAnsi"/>
                <w:sz w:val="24"/>
                <w:szCs w:val="24"/>
              </w:rPr>
            </w:pPr>
            <w:r>
              <w:rPr>
                <w:rFonts w:cstheme="minorHAnsi"/>
                <w:sz w:val="24"/>
                <w:szCs w:val="24"/>
              </w:rPr>
              <w:t>15.9%</w:t>
            </w:r>
          </w:p>
        </w:tc>
      </w:tr>
      <w:tr w:rsidR="001A5B06" w14:paraId="75700C9C" w14:textId="77777777" w:rsidTr="001A5B06">
        <w:tc>
          <w:tcPr>
            <w:tcW w:w="1890" w:type="dxa"/>
          </w:tcPr>
          <w:p w14:paraId="68020E78" w14:textId="77777777" w:rsidR="001A5B06" w:rsidRDefault="001A5B06" w:rsidP="00EB7B24">
            <w:pPr>
              <w:jc w:val="center"/>
              <w:rPr>
                <w:rFonts w:cstheme="minorHAnsi"/>
                <w:sz w:val="24"/>
                <w:szCs w:val="24"/>
              </w:rPr>
            </w:pPr>
            <w:r>
              <w:rPr>
                <w:rFonts w:cstheme="minorHAnsi"/>
                <w:sz w:val="24"/>
                <w:szCs w:val="24"/>
              </w:rPr>
              <w:t>+Summer 2019</w:t>
            </w:r>
          </w:p>
        </w:tc>
        <w:tc>
          <w:tcPr>
            <w:tcW w:w="456" w:type="dxa"/>
          </w:tcPr>
          <w:p w14:paraId="31F1F314" w14:textId="77777777" w:rsidR="001A5B06" w:rsidRDefault="001A5B06" w:rsidP="00EB7B24">
            <w:pPr>
              <w:jc w:val="center"/>
              <w:rPr>
                <w:rFonts w:cstheme="minorHAnsi"/>
                <w:sz w:val="24"/>
                <w:szCs w:val="24"/>
              </w:rPr>
            </w:pPr>
            <w:r>
              <w:rPr>
                <w:rFonts w:cstheme="minorHAnsi"/>
                <w:sz w:val="24"/>
                <w:szCs w:val="24"/>
              </w:rPr>
              <w:t>0</w:t>
            </w:r>
          </w:p>
        </w:tc>
        <w:tc>
          <w:tcPr>
            <w:tcW w:w="576" w:type="dxa"/>
          </w:tcPr>
          <w:p w14:paraId="2A0705CE" w14:textId="77777777" w:rsidR="001A5B06" w:rsidRDefault="001A5B06" w:rsidP="00EB7B24">
            <w:pPr>
              <w:jc w:val="center"/>
              <w:rPr>
                <w:rFonts w:cstheme="minorHAnsi"/>
                <w:sz w:val="24"/>
                <w:szCs w:val="24"/>
              </w:rPr>
            </w:pPr>
            <w:r>
              <w:rPr>
                <w:rFonts w:cstheme="minorHAnsi"/>
                <w:sz w:val="24"/>
                <w:szCs w:val="24"/>
              </w:rPr>
              <w:t>1</w:t>
            </w:r>
          </w:p>
        </w:tc>
        <w:tc>
          <w:tcPr>
            <w:tcW w:w="498" w:type="dxa"/>
          </w:tcPr>
          <w:p w14:paraId="6A768ADF" w14:textId="77777777" w:rsidR="001A5B06" w:rsidRDefault="001A5B06" w:rsidP="00EB7B24">
            <w:pPr>
              <w:jc w:val="center"/>
              <w:rPr>
                <w:rFonts w:cstheme="minorHAnsi"/>
                <w:sz w:val="24"/>
                <w:szCs w:val="24"/>
              </w:rPr>
            </w:pPr>
            <w:r>
              <w:rPr>
                <w:rFonts w:cstheme="minorHAnsi"/>
                <w:sz w:val="24"/>
                <w:szCs w:val="24"/>
              </w:rPr>
              <w:t>0</w:t>
            </w:r>
          </w:p>
        </w:tc>
        <w:tc>
          <w:tcPr>
            <w:tcW w:w="816" w:type="dxa"/>
          </w:tcPr>
          <w:p w14:paraId="60BA8173" w14:textId="77777777" w:rsidR="001A5B06" w:rsidRDefault="001A5B06" w:rsidP="00EB7B24">
            <w:pPr>
              <w:jc w:val="center"/>
              <w:rPr>
                <w:rFonts w:cstheme="minorHAnsi"/>
                <w:sz w:val="24"/>
                <w:szCs w:val="24"/>
              </w:rPr>
            </w:pPr>
            <w:r>
              <w:rPr>
                <w:rFonts w:cstheme="minorHAnsi"/>
                <w:sz w:val="24"/>
                <w:szCs w:val="24"/>
              </w:rPr>
              <w:t>NA</w:t>
            </w:r>
          </w:p>
        </w:tc>
        <w:tc>
          <w:tcPr>
            <w:tcW w:w="340" w:type="dxa"/>
          </w:tcPr>
          <w:p w14:paraId="6E04FCF4" w14:textId="77777777" w:rsidR="001A5B06" w:rsidRDefault="001A5B06" w:rsidP="00EB7B24">
            <w:pPr>
              <w:jc w:val="center"/>
              <w:rPr>
                <w:rFonts w:cstheme="minorHAnsi"/>
                <w:sz w:val="24"/>
                <w:szCs w:val="24"/>
              </w:rPr>
            </w:pPr>
          </w:p>
        </w:tc>
        <w:tc>
          <w:tcPr>
            <w:tcW w:w="1260" w:type="dxa"/>
          </w:tcPr>
          <w:p w14:paraId="50691739" w14:textId="77777777" w:rsidR="001A5B06" w:rsidRDefault="001A5B06" w:rsidP="00EB7B24">
            <w:pPr>
              <w:jc w:val="center"/>
              <w:rPr>
                <w:rFonts w:cstheme="minorHAnsi"/>
                <w:sz w:val="24"/>
                <w:szCs w:val="24"/>
              </w:rPr>
            </w:pPr>
            <w:r>
              <w:rPr>
                <w:rFonts w:cstheme="minorHAnsi"/>
                <w:sz w:val="24"/>
                <w:szCs w:val="24"/>
              </w:rPr>
              <w:t>7</w:t>
            </w:r>
          </w:p>
        </w:tc>
        <w:tc>
          <w:tcPr>
            <w:tcW w:w="1350" w:type="dxa"/>
          </w:tcPr>
          <w:p w14:paraId="6AACC5D6" w14:textId="77777777" w:rsidR="001A5B06" w:rsidRDefault="001A5B06" w:rsidP="00EB7B24">
            <w:pPr>
              <w:jc w:val="center"/>
              <w:rPr>
                <w:rFonts w:cstheme="minorHAnsi"/>
                <w:sz w:val="24"/>
                <w:szCs w:val="24"/>
              </w:rPr>
            </w:pPr>
            <w:r>
              <w:rPr>
                <w:rFonts w:cstheme="minorHAnsi"/>
                <w:sz w:val="24"/>
                <w:szCs w:val="24"/>
              </w:rPr>
              <w:t>6</w:t>
            </w:r>
          </w:p>
        </w:tc>
        <w:tc>
          <w:tcPr>
            <w:tcW w:w="1539" w:type="dxa"/>
          </w:tcPr>
          <w:p w14:paraId="012EA4AC" w14:textId="77777777" w:rsidR="001A5B06" w:rsidRDefault="001A5B06" w:rsidP="00EB7B24">
            <w:pPr>
              <w:jc w:val="center"/>
              <w:rPr>
                <w:rFonts w:cstheme="minorHAnsi"/>
                <w:sz w:val="24"/>
                <w:szCs w:val="24"/>
              </w:rPr>
            </w:pPr>
            <w:r>
              <w:rPr>
                <w:rFonts w:cstheme="minorHAnsi"/>
                <w:sz w:val="24"/>
                <w:szCs w:val="24"/>
              </w:rPr>
              <w:t>14.3%</w:t>
            </w:r>
          </w:p>
        </w:tc>
      </w:tr>
      <w:tr w:rsidR="001A5B06" w14:paraId="3795C466" w14:textId="77777777" w:rsidTr="001A5B06">
        <w:tc>
          <w:tcPr>
            <w:tcW w:w="1890" w:type="dxa"/>
          </w:tcPr>
          <w:p w14:paraId="66A0AA5E" w14:textId="77777777" w:rsidR="001A5B06" w:rsidRDefault="001A5B06" w:rsidP="00EB7B24">
            <w:pPr>
              <w:jc w:val="center"/>
              <w:rPr>
                <w:rFonts w:cstheme="minorHAnsi"/>
                <w:sz w:val="24"/>
                <w:szCs w:val="24"/>
              </w:rPr>
            </w:pPr>
            <w:r>
              <w:rPr>
                <w:rFonts w:cstheme="minorHAnsi"/>
                <w:sz w:val="24"/>
                <w:szCs w:val="24"/>
              </w:rPr>
              <w:t>++ Fall 2019</w:t>
            </w:r>
          </w:p>
        </w:tc>
        <w:tc>
          <w:tcPr>
            <w:tcW w:w="456" w:type="dxa"/>
          </w:tcPr>
          <w:p w14:paraId="3CB4BA88" w14:textId="77777777" w:rsidR="001A5B06" w:rsidRDefault="001A5B06" w:rsidP="00EB7B24">
            <w:pPr>
              <w:jc w:val="center"/>
              <w:rPr>
                <w:rFonts w:cstheme="minorHAnsi"/>
                <w:sz w:val="24"/>
                <w:szCs w:val="24"/>
              </w:rPr>
            </w:pPr>
            <w:r>
              <w:rPr>
                <w:rFonts w:cstheme="minorHAnsi"/>
                <w:sz w:val="24"/>
                <w:szCs w:val="24"/>
              </w:rPr>
              <w:t>18</w:t>
            </w:r>
          </w:p>
        </w:tc>
        <w:tc>
          <w:tcPr>
            <w:tcW w:w="576" w:type="dxa"/>
          </w:tcPr>
          <w:p w14:paraId="7C64B9D6" w14:textId="77777777" w:rsidR="001A5B06" w:rsidRDefault="001A5B06" w:rsidP="00EB7B24">
            <w:pPr>
              <w:jc w:val="center"/>
              <w:rPr>
                <w:rFonts w:cstheme="minorHAnsi"/>
                <w:sz w:val="24"/>
                <w:szCs w:val="24"/>
              </w:rPr>
            </w:pPr>
            <w:r>
              <w:rPr>
                <w:rFonts w:cstheme="minorHAnsi"/>
                <w:sz w:val="24"/>
                <w:szCs w:val="24"/>
              </w:rPr>
              <w:t>53</w:t>
            </w:r>
          </w:p>
        </w:tc>
        <w:tc>
          <w:tcPr>
            <w:tcW w:w="498" w:type="dxa"/>
          </w:tcPr>
          <w:p w14:paraId="3F3A3D0E" w14:textId="77777777" w:rsidR="001A5B06" w:rsidRDefault="001A5B06" w:rsidP="00EB7B24">
            <w:pPr>
              <w:jc w:val="center"/>
              <w:rPr>
                <w:rFonts w:cstheme="minorHAnsi"/>
                <w:sz w:val="24"/>
                <w:szCs w:val="24"/>
              </w:rPr>
            </w:pPr>
            <w:r>
              <w:rPr>
                <w:rFonts w:cstheme="minorHAnsi"/>
                <w:sz w:val="24"/>
                <w:szCs w:val="24"/>
              </w:rPr>
              <w:t>4</w:t>
            </w:r>
          </w:p>
        </w:tc>
        <w:tc>
          <w:tcPr>
            <w:tcW w:w="816" w:type="dxa"/>
          </w:tcPr>
          <w:p w14:paraId="384514BC" w14:textId="77777777" w:rsidR="001A5B06" w:rsidRDefault="001A5B06" w:rsidP="00EB7B24">
            <w:pPr>
              <w:jc w:val="center"/>
              <w:rPr>
                <w:rFonts w:cstheme="minorHAnsi"/>
                <w:sz w:val="24"/>
                <w:szCs w:val="24"/>
              </w:rPr>
            </w:pPr>
            <w:r>
              <w:rPr>
                <w:rFonts w:cstheme="minorHAnsi"/>
                <w:sz w:val="24"/>
                <w:szCs w:val="24"/>
              </w:rPr>
              <w:t>6(1%)</w:t>
            </w:r>
          </w:p>
        </w:tc>
        <w:tc>
          <w:tcPr>
            <w:tcW w:w="340" w:type="dxa"/>
          </w:tcPr>
          <w:p w14:paraId="4D39312F" w14:textId="77777777" w:rsidR="001A5B06" w:rsidRDefault="001A5B06" w:rsidP="00EB7B24">
            <w:pPr>
              <w:jc w:val="center"/>
              <w:rPr>
                <w:rFonts w:cstheme="minorHAnsi"/>
                <w:sz w:val="24"/>
                <w:szCs w:val="24"/>
              </w:rPr>
            </w:pPr>
          </w:p>
        </w:tc>
        <w:tc>
          <w:tcPr>
            <w:tcW w:w="1260" w:type="dxa"/>
          </w:tcPr>
          <w:p w14:paraId="2620BD74" w14:textId="77777777" w:rsidR="001A5B06" w:rsidRDefault="001A5B06" w:rsidP="00EB7B24">
            <w:pPr>
              <w:jc w:val="center"/>
              <w:rPr>
                <w:rFonts w:cstheme="minorHAnsi"/>
                <w:sz w:val="24"/>
                <w:szCs w:val="24"/>
              </w:rPr>
            </w:pPr>
            <w:r>
              <w:rPr>
                <w:rFonts w:cstheme="minorHAnsi"/>
                <w:sz w:val="24"/>
                <w:szCs w:val="24"/>
              </w:rPr>
              <w:t>422</w:t>
            </w:r>
          </w:p>
        </w:tc>
        <w:tc>
          <w:tcPr>
            <w:tcW w:w="1350" w:type="dxa"/>
          </w:tcPr>
          <w:p w14:paraId="5110DBC3" w14:textId="77777777" w:rsidR="001A5B06" w:rsidRDefault="001A5B06" w:rsidP="00EB7B24">
            <w:pPr>
              <w:jc w:val="center"/>
              <w:rPr>
                <w:rFonts w:cstheme="minorHAnsi"/>
                <w:sz w:val="24"/>
                <w:szCs w:val="24"/>
              </w:rPr>
            </w:pPr>
            <w:r>
              <w:rPr>
                <w:rFonts w:cstheme="minorHAnsi"/>
                <w:sz w:val="24"/>
                <w:szCs w:val="24"/>
              </w:rPr>
              <w:t>347</w:t>
            </w:r>
          </w:p>
        </w:tc>
        <w:tc>
          <w:tcPr>
            <w:tcW w:w="1539" w:type="dxa"/>
          </w:tcPr>
          <w:p w14:paraId="0ECBB2C4" w14:textId="77777777" w:rsidR="001A5B06" w:rsidRDefault="001A5B06" w:rsidP="00EB7B24">
            <w:pPr>
              <w:jc w:val="center"/>
              <w:rPr>
                <w:rFonts w:cstheme="minorHAnsi"/>
                <w:sz w:val="24"/>
                <w:szCs w:val="24"/>
              </w:rPr>
            </w:pPr>
            <w:r>
              <w:rPr>
                <w:rFonts w:cstheme="minorHAnsi"/>
                <w:sz w:val="24"/>
                <w:szCs w:val="24"/>
              </w:rPr>
              <w:t>16.8%</w:t>
            </w:r>
          </w:p>
        </w:tc>
      </w:tr>
      <w:tr w:rsidR="001A5B06" w14:paraId="686611BA" w14:textId="77777777" w:rsidTr="001A5B06">
        <w:tc>
          <w:tcPr>
            <w:tcW w:w="1890" w:type="dxa"/>
          </w:tcPr>
          <w:p w14:paraId="079C4391" w14:textId="77777777" w:rsidR="001A5B06" w:rsidRDefault="001A5B06" w:rsidP="00EB7B24">
            <w:pPr>
              <w:jc w:val="center"/>
              <w:rPr>
                <w:rFonts w:cstheme="minorHAnsi"/>
                <w:sz w:val="24"/>
                <w:szCs w:val="24"/>
              </w:rPr>
            </w:pPr>
            <w:r>
              <w:rPr>
                <w:rFonts w:cstheme="minorHAnsi"/>
                <w:sz w:val="24"/>
                <w:szCs w:val="24"/>
              </w:rPr>
              <w:t>++ Spring 2020</w:t>
            </w:r>
          </w:p>
        </w:tc>
        <w:tc>
          <w:tcPr>
            <w:tcW w:w="456" w:type="dxa"/>
          </w:tcPr>
          <w:p w14:paraId="10D8C23C" w14:textId="77777777" w:rsidR="001A5B06" w:rsidRDefault="001A5B06" w:rsidP="00EB7B24">
            <w:pPr>
              <w:jc w:val="center"/>
              <w:rPr>
                <w:rFonts w:cstheme="minorHAnsi"/>
                <w:sz w:val="24"/>
                <w:szCs w:val="24"/>
              </w:rPr>
            </w:pPr>
            <w:r>
              <w:rPr>
                <w:rFonts w:cstheme="minorHAnsi"/>
                <w:sz w:val="24"/>
                <w:szCs w:val="24"/>
              </w:rPr>
              <w:t>6</w:t>
            </w:r>
          </w:p>
        </w:tc>
        <w:tc>
          <w:tcPr>
            <w:tcW w:w="576" w:type="dxa"/>
          </w:tcPr>
          <w:p w14:paraId="66A01FE2" w14:textId="77777777" w:rsidR="001A5B06" w:rsidRDefault="001A5B06" w:rsidP="00EB7B24">
            <w:pPr>
              <w:jc w:val="center"/>
              <w:rPr>
                <w:rFonts w:cstheme="minorHAnsi"/>
                <w:sz w:val="24"/>
                <w:szCs w:val="24"/>
              </w:rPr>
            </w:pPr>
            <w:r>
              <w:rPr>
                <w:rFonts w:cstheme="minorHAnsi"/>
                <w:sz w:val="24"/>
                <w:szCs w:val="24"/>
              </w:rPr>
              <w:t>9</w:t>
            </w:r>
          </w:p>
        </w:tc>
        <w:tc>
          <w:tcPr>
            <w:tcW w:w="498" w:type="dxa"/>
          </w:tcPr>
          <w:p w14:paraId="27F401C3" w14:textId="77777777" w:rsidR="001A5B06" w:rsidRDefault="001A5B06" w:rsidP="00EB7B24">
            <w:pPr>
              <w:jc w:val="center"/>
              <w:rPr>
                <w:rFonts w:cstheme="minorHAnsi"/>
                <w:sz w:val="24"/>
                <w:szCs w:val="24"/>
              </w:rPr>
            </w:pPr>
            <w:r>
              <w:rPr>
                <w:rFonts w:cstheme="minorHAnsi"/>
                <w:sz w:val="24"/>
                <w:szCs w:val="24"/>
              </w:rPr>
              <w:t>6</w:t>
            </w:r>
          </w:p>
        </w:tc>
        <w:tc>
          <w:tcPr>
            <w:tcW w:w="816" w:type="dxa"/>
          </w:tcPr>
          <w:p w14:paraId="56F45574" w14:textId="77777777" w:rsidR="001A5B06" w:rsidRDefault="001A5B06" w:rsidP="00EB7B24">
            <w:pPr>
              <w:jc w:val="center"/>
              <w:rPr>
                <w:rFonts w:cstheme="minorHAnsi"/>
                <w:sz w:val="24"/>
                <w:szCs w:val="24"/>
              </w:rPr>
            </w:pPr>
            <w:r>
              <w:rPr>
                <w:rFonts w:cstheme="minorHAnsi"/>
                <w:sz w:val="24"/>
                <w:szCs w:val="24"/>
              </w:rPr>
              <w:t>4(4%)</w:t>
            </w:r>
          </w:p>
        </w:tc>
        <w:tc>
          <w:tcPr>
            <w:tcW w:w="340" w:type="dxa"/>
          </w:tcPr>
          <w:p w14:paraId="767F2525" w14:textId="77777777" w:rsidR="001A5B06" w:rsidRDefault="001A5B06" w:rsidP="00EB7B24">
            <w:pPr>
              <w:jc w:val="center"/>
              <w:rPr>
                <w:rFonts w:cstheme="minorHAnsi"/>
                <w:sz w:val="24"/>
                <w:szCs w:val="24"/>
              </w:rPr>
            </w:pPr>
          </w:p>
        </w:tc>
        <w:tc>
          <w:tcPr>
            <w:tcW w:w="1260" w:type="dxa"/>
          </w:tcPr>
          <w:p w14:paraId="06C0ECC3" w14:textId="77777777" w:rsidR="001A5B06" w:rsidRDefault="001A5B06" w:rsidP="00EB7B24">
            <w:pPr>
              <w:jc w:val="center"/>
              <w:rPr>
                <w:rFonts w:cstheme="minorHAnsi"/>
                <w:sz w:val="24"/>
                <w:szCs w:val="24"/>
              </w:rPr>
            </w:pPr>
            <w:r>
              <w:rPr>
                <w:rFonts w:cstheme="minorHAnsi"/>
                <w:sz w:val="24"/>
                <w:szCs w:val="24"/>
              </w:rPr>
              <w:t>104</w:t>
            </w:r>
          </w:p>
        </w:tc>
        <w:tc>
          <w:tcPr>
            <w:tcW w:w="1350" w:type="dxa"/>
          </w:tcPr>
          <w:p w14:paraId="3247B31B" w14:textId="77777777" w:rsidR="001A5B06" w:rsidRDefault="001A5B06" w:rsidP="00EB7B24">
            <w:pPr>
              <w:jc w:val="center"/>
              <w:rPr>
                <w:rFonts w:cstheme="minorHAnsi"/>
                <w:sz w:val="24"/>
                <w:szCs w:val="24"/>
              </w:rPr>
            </w:pPr>
            <w:r>
              <w:rPr>
                <w:rFonts w:cstheme="minorHAnsi"/>
                <w:sz w:val="24"/>
                <w:szCs w:val="24"/>
              </w:rPr>
              <w:t>83</w:t>
            </w:r>
          </w:p>
        </w:tc>
        <w:tc>
          <w:tcPr>
            <w:tcW w:w="1539" w:type="dxa"/>
          </w:tcPr>
          <w:p w14:paraId="03AEEA7B" w14:textId="77777777" w:rsidR="001A5B06" w:rsidRDefault="001A5B06" w:rsidP="00EB7B24">
            <w:pPr>
              <w:jc w:val="center"/>
              <w:rPr>
                <w:rFonts w:cstheme="minorHAnsi"/>
                <w:sz w:val="24"/>
                <w:szCs w:val="24"/>
              </w:rPr>
            </w:pPr>
            <w:r>
              <w:rPr>
                <w:rFonts w:cstheme="minorHAnsi"/>
                <w:sz w:val="24"/>
                <w:szCs w:val="24"/>
              </w:rPr>
              <w:t>14.4%</w:t>
            </w:r>
          </w:p>
        </w:tc>
      </w:tr>
      <w:tr w:rsidR="001A5B06" w14:paraId="422D9316" w14:textId="77777777" w:rsidTr="001A5B06">
        <w:tc>
          <w:tcPr>
            <w:tcW w:w="1890" w:type="dxa"/>
          </w:tcPr>
          <w:p w14:paraId="2EC2EA62" w14:textId="77777777" w:rsidR="001A5B06" w:rsidRDefault="001A5B06" w:rsidP="00EB7B24">
            <w:pPr>
              <w:jc w:val="center"/>
              <w:rPr>
                <w:rFonts w:cstheme="minorHAnsi"/>
                <w:sz w:val="24"/>
                <w:szCs w:val="24"/>
              </w:rPr>
            </w:pPr>
            <w:r>
              <w:rPr>
                <w:rFonts w:cstheme="minorHAnsi"/>
                <w:sz w:val="24"/>
                <w:szCs w:val="24"/>
              </w:rPr>
              <w:t>++Summer 2020</w:t>
            </w:r>
          </w:p>
        </w:tc>
        <w:tc>
          <w:tcPr>
            <w:tcW w:w="456" w:type="dxa"/>
          </w:tcPr>
          <w:p w14:paraId="06A674F7" w14:textId="77777777" w:rsidR="001A5B06" w:rsidRDefault="001A5B06" w:rsidP="00EB7B24">
            <w:pPr>
              <w:jc w:val="center"/>
              <w:rPr>
                <w:rFonts w:cstheme="minorHAnsi"/>
                <w:sz w:val="24"/>
                <w:szCs w:val="24"/>
              </w:rPr>
            </w:pPr>
            <w:r>
              <w:rPr>
                <w:rFonts w:cstheme="minorHAnsi"/>
                <w:sz w:val="24"/>
                <w:szCs w:val="24"/>
              </w:rPr>
              <w:t>0</w:t>
            </w:r>
          </w:p>
        </w:tc>
        <w:tc>
          <w:tcPr>
            <w:tcW w:w="576" w:type="dxa"/>
          </w:tcPr>
          <w:p w14:paraId="3AE1E685" w14:textId="77777777" w:rsidR="001A5B06" w:rsidRDefault="001A5B06" w:rsidP="00EB7B24">
            <w:pPr>
              <w:jc w:val="center"/>
              <w:rPr>
                <w:rFonts w:cstheme="minorHAnsi"/>
                <w:sz w:val="24"/>
                <w:szCs w:val="24"/>
              </w:rPr>
            </w:pPr>
            <w:r>
              <w:rPr>
                <w:rFonts w:cstheme="minorHAnsi"/>
                <w:sz w:val="24"/>
                <w:szCs w:val="24"/>
              </w:rPr>
              <w:t>0</w:t>
            </w:r>
          </w:p>
        </w:tc>
        <w:tc>
          <w:tcPr>
            <w:tcW w:w="498" w:type="dxa"/>
          </w:tcPr>
          <w:p w14:paraId="07555E67" w14:textId="77777777" w:rsidR="001A5B06" w:rsidRDefault="001A5B06" w:rsidP="00EB7B24">
            <w:pPr>
              <w:jc w:val="center"/>
              <w:rPr>
                <w:rFonts w:cstheme="minorHAnsi"/>
                <w:sz w:val="24"/>
                <w:szCs w:val="24"/>
              </w:rPr>
            </w:pPr>
            <w:r>
              <w:rPr>
                <w:rFonts w:cstheme="minorHAnsi"/>
                <w:sz w:val="24"/>
                <w:szCs w:val="24"/>
              </w:rPr>
              <w:t>0</w:t>
            </w:r>
          </w:p>
        </w:tc>
        <w:tc>
          <w:tcPr>
            <w:tcW w:w="816" w:type="dxa"/>
          </w:tcPr>
          <w:p w14:paraId="71133FF9" w14:textId="77777777" w:rsidR="001A5B06" w:rsidRDefault="001A5B06" w:rsidP="00EB7B24">
            <w:pPr>
              <w:jc w:val="center"/>
              <w:rPr>
                <w:rFonts w:cstheme="minorHAnsi"/>
                <w:sz w:val="24"/>
                <w:szCs w:val="24"/>
              </w:rPr>
            </w:pPr>
            <w:r>
              <w:rPr>
                <w:rFonts w:cstheme="minorHAnsi"/>
                <w:sz w:val="24"/>
                <w:szCs w:val="24"/>
              </w:rPr>
              <w:t>0</w:t>
            </w:r>
          </w:p>
        </w:tc>
        <w:tc>
          <w:tcPr>
            <w:tcW w:w="340" w:type="dxa"/>
          </w:tcPr>
          <w:p w14:paraId="0A8A3A42" w14:textId="77777777" w:rsidR="001A5B06" w:rsidRDefault="001A5B06" w:rsidP="00EB7B24">
            <w:pPr>
              <w:jc w:val="center"/>
              <w:rPr>
                <w:rFonts w:cstheme="minorHAnsi"/>
                <w:sz w:val="24"/>
                <w:szCs w:val="24"/>
              </w:rPr>
            </w:pPr>
          </w:p>
        </w:tc>
        <w:tc>
          <w:tcPr>
            <w:tcW w:w="1260" w:type="dxa"/>
          </w:tcPr>
          <w:p w14:paraId="73E9A0C2" w14:textId="77777777" w:rsidR="001A5B06" w:rsidRDefault="001A5B06" w:rsidP="00EB7B24">
            <w:pPr>
              <w:jc w:val="center"/>
              <w:rPr>
                <w:rFonts w:cstheme="minorHAnsi"/>
                <w:sz w:val="24"/>
                <w:szCs w:val="24"/>
              </w:rPr>
            </w:pPr>
            <w:r>
              <w:rPr>
                <w:rFonts w:cstheme="minorHAnsi"/>
                <w:sz w:val="24"/>
                <w:szCs w:val="24"/>
              </w:rPr>
              <w:t>11</w:t>
            </w:r>
          </w:p>
        </w:tc>
        <w:tc>
          <w:tcPr>
            <w:tcW w:w="1350" w:type="dxa"/>
          </w:tcPr>
          <w:p w14:paraId="64C927D0" w14:textId="77777777" w:rsidR="001A5B06" w:rsidRDefault="001A5B06" w:rsidP="00EB7B24">
            <w:pPr>
              <w:jc w:val="center"/>
              <w:rPr>
                <w:rFonts w:cstheme="minorHAnsi"/>
                <w:sz w:val="24"/>
                <w:szCs w:val="24"/>
              </w:rPr>
            </w:pPr>
            <w:r>
              <w:rPr>
                <w:rFonts w:cstheme="minorHAnsi"/>
                <w:sz w:val="24"/>
                <w:szCs w:val="24"/>
              </w:rPr>
              <w:t>11</w:t>
            </w:r>
          </w:p>
        </w:tc>
        <w:tc>
          <w:tcPr>
            <w:tcW w:w="1539" w:type="dxa"/>
          </w:tcPr>
          <w:p w14:paraId="140941CA" w14:textId="77777777" w:rsidR="001A5B06" w:rsidRDefault="001A5B06" w:rsidP="00EB7B24">
            <w:pPr>
              <w:jc w:val="center"/>
              <w:rPr>
                <w:rFonts w:cstheme="minorHAnsi"/>
                <w:sz w:val="24"/>
                <w:szCs w:val="24"/>
              </w:rPr>
            </w:pPr>
            <w:r>
              <w:rPr>
                <w:rFonts w:cstheme="minorHAnsi"/>
                <w:sz w:val="24"/>
                <w:szCs w:val="24"/>
              </w:rPr>
              <w:t>0%</w:t>
            </w:r>
          </w:p>
        </w:tc>
      </w:tr>
    </w:tbl>
    <w:p w14:paraId="16AF0A16" w14:textId="7437F32E" w:rsidR="001A2C41" w:rsidRPr="001A2C41" w:rsidRDefault="001A2C41" w:rsidP="001A2C41">
      <w:pPr>
        <w:pStyle w:val="ListParagraph"/>
        <w:rPr>
          <w:b/>
          <w:sz w:val="24"/>
          <w:szCs w:val="24"/>
        </w:rPr>
      </w:pPr>
      <w:r w:rsidRPr="00F627A0">
        <w:lastRenderedPageBreak/>
        <w:t xml:space="preserve">The </w:t>
      </w:r>
      <w:r>
        <w:t xml:space="preserve">data indicate that since the implementations of the no-cost textbook along with the course redesign strategies, the failure rate (D and F) of College Algebra at Savannah State University has been minimized to an acceptable range of at most 20%.  This is a welcoming news for the department and our MATH 1111 students because the department is on track to meeting the Fall 2021 deadline of continuous failure reduction.  It is also good news for the students in that an overwhelming majority of them are able to exit this gateway course and transition smoothly into their chosen major without delays. One of the challenges, however, the increase in the </w:t>
      </w:r>
      <w:r w:rsidR="001A5B06">
        <w:t xml:space="preserve">number of </w:t>
      </w:r>
      <w:r>
        <w:t>Incomplete (I) grade due to the COVID-19 pandemic.  If the trend continues it</w:t>
      </w:r>
      <w:r w:rsidR="001A5B06">
        <w:t xml:space="preserve"> has the potential to</w:t>
      </w:r>
      <w:r>
        <w:t xml:space="preserve"> post some problem</w:t>
      </w:r>
      <w:r w:rsidR="001A5B06">
        <w:t>s</w:t>
      </w:r>
      <w:r>
        <w:t>.</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2F47770E"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63AF1160" w14:textId="5B16D6F8" w:rsidR="001A2C41" w:rsidRPr="003F4D85" w:rsidRDefault="001A2C41" w:rsidP="003F4D85">
      <w:pPr>
        <w:ind w:left="360"/>
        <w:rPr>
          <w:sz w:val="24"/>
          <w:szCs w:val="24"/>
        </w:rPr>
      </w:pPr>
      <w:r>
        <w:t>I</w:t>
      </w:r>
      <w:r>
        <w:t xml:space="preserve">n Spring 2018 the high failure rate associated with MATH 1111 in recent years at Savannah State University triggered the course redesign initiative (by the university administration) with the primary objective of reducing the failure rate to at most 30% by Fall 2021.  Essential to achieving this objective would be the accessibility to affordable textbook of no-cost for students and we were very fortunate to have been the recipients of round 15 of the Affordable Learning Georgia Textbook Transformation Grant.  The grant did enable us to research for the appropriate no-cost textbook for our students via the Affordable Learning Georgia links.  Our search yielded a no-cost textbook titled ‘Algebra and Trigonometry’, by Jay Abramson:  </w:t>
      </w:r>
      <w:hyperlink r:id="rId10" w:history="1">
        <w:r>
          <w:rPr>
            <w:rStyle w:val="Hyperlink"/>
          </w:rPr>
          <w:t>https://openstax.org/details/books/algebra-and-trigonometry</w:t>
        </w:r>
      </w:hyperlink>
      <w:r>
        <w:t>) that displays all of the characteristics and features that are outlined in the course syllabus.  We presented and recommended our selection to the department education and curriculum committee for further analysis and adoption and the committee agreed to adopt the recommended no-cost textbook for the 2019 -2020 academic year</w:t>
      </w:r>
      <w:r>
        <w:t xml:space="preserve"> and 2020 – 2021 academic year</w:t>
      </w:r>
      <w:r>
        <w:t xml:space="preserve">.   </w:t>
      </w:r>
      <w:r>
        <w:t>T</w:t>
      </w:r>
      <w:r w:rsidRPr="00F627A0">
        <w:t xml:space="preserve">he </w:t>
      </w:r>
      <w:r>
        <w:t>data indicate that since the adoption or implementations of the no-cost textbook along with the course redesign strategies, the failure rate of College Algebra at Savannah State University has been minimized to an acceptable range of at most 2</w:t>
      </w:r>
      <w:r>
        <w:t>0</w:t>
      </w:r>
      <w:r>
        <w:t>%.</w:t>
      </w:r>
      <w:r>
        <w:t xml:space="preserve">  </w:t>
      </w:r>
      <w:r w:rsidR="006D351B">
        <w:t>In Spring 2021, the department will reevaluate the impact of the no-cost textbook and course redesign initiative.  We are confident that the reevaluation will yield a positive result and that the current program will continue through future academic years.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1641DA40"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775E857D" w14:textId="034D83A0" w:rsidR="006D351B" w:rsidRPr="003F4D85" w:rsidRDefault="006D351B" w:rsidP="003F4D85">
      <w:pPr>
        <w:ind w:left="360"/>
        <w:rPr>
          <w:b/>
          <w:sz w:val="24"/>
          <w:szCs w:val="24"/>
        </w:rPr>
      </w:pPr>
      <w:r>
        <w:rPr>
          <w:i/>
          <w:sz w:val="24"/>
          <w:szCs w:val="24"/>
        </w:rPr>
        <w:t xml:space="preserve">Now that we have some experience with the Affordable Learning Georgia Textbook Transformation Grant Program, we intend to submit an application (this October) for one of our newly adopted courses (MATH 1401).  MATH 1401 now serves as a Statistics Pathway course for non-STEM major.  </w:t>
      </w:r>
      <w:r w:rsidR="00A603CE">
        <w:rPr>
          <w:i/>
          <w:sz w:val="24"/>
          <w:szCs w:val="24"/>
        </w:rPr>
        <w:t xml:space="preserve">We are hopeful that the grant </w:t>
      </w:r>
      <w:r w:rsidR="00756F50">
        <w:rPr>
          <w:i/>
          <w:sz w:val="24"/>
          <w:szCs w:val="24"/>
        </w:rPr>
        <w:t>(if our proposal is successful) has the potential to have</w:t>
      </w:r>
      <w:r w:rsidR="00A603CE">
        <w:rPr>
          <w:i/>
          <w:sz w:val="24"/>
          <w:szCs w:val="24"/>
        </w:rPr>
        <w:t xml:space="preserve"> a positive impact on this newly designed course.</w:t>
      </w:r>
      <w:r w:rsidR="00756F50">
        <w:rPr>
          <w:i/>
          <w:sz w:val="24"/>
          <w:szCs w:val="24"/>
        </w:rPr>
        <w:t xml:space="preserve">  With our newly gained experience, we will improve on student survey (which is almost lacking in this report partly due to inexperience with grant writing).</w:t>
      </w:r>
      <w:bookmarkStart w:id="0" w:name="_GoBack"/>
      <w:bookmarkEnd w:id="0"/>
    </w:p>
    <w:p w14:paraId="68427203" w14:textId="3170B244" w:rsidR="00871BC4" w:rsidRPr="00220876" w:rsidRDefault="00190A51" w:rsidP="003F4D85">
      <w:pPr>
        <w:pStyle w:val="Heading1"/>
        <w:numPr>
          <w:ilvl w:val="0"/>
          <w:numId w:val="18"/>
        </w:numPr>
        <w:ind w:left="360"/>
      </w:pPr>
      <w:r w:rsidRPr="00220876">
        <w:lastRenderedPageBreak/>
        <w:t xml:space="preserve">Future </w:t>
      </w:r>
      <w:r w:rsidR="00220876" w:rsidRPr="00220876">
        <w:t>Scholarship Plans</w:t>
      </w:r>
    </w:p>
    <w:p w14:paraId="09109D3C" w14:textId="33F195DF"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560F5B36" w14:textId="262B003C" w:rsidR="00A603CE" w:rsidRDefault="00A603CE" w:rsidP="003F4D85">
      <w:pPr>
        <w:ind w:left="360"/>
        <w:rPr>
          <w:i/>
          <w:sz w:val="24"/>
          <w:szCs w:val="24"/>
        </w:rPr>
      </w:pPr>
    </w:p>
    <w:p w14:paraId="5AB4BA90" w14:textId="34B67047" w:rsidR="00A603CE" w:rsidRPr="003F4D85" w:rsidRDefault="00A603CE" w:rsidP="003F4D85">
      <w:pPr>
        <w:ind w:left="360"/>
        <w:rPr>
          <w:b/>
          <w:sz w:val="24"/>
          <w:szCs w:val="24"/>
        </w:rPr>
      </w:pPr>
      <w:r>
        <w:rPr>
          <w:i/>
          <w:sz w:val="24"/>
          <w:szCs w:val="24"/>
        </w:rPr>
        <w:t>As mentioned earlier, our no-cost textbook grant program was incorporated with the math department course redesign initiative of MATH 1111.  The two initiatives are inseparable because we supervised and implemented every strategy of the two programs.  The successful narrative</w:t>
      </w:r>
      <w:r w:rsidR="00B82DF2">
        <w:rPr>
          <w:i/>
          <w:sz w:val="24"/>
          <w:szCs w:val="24"/>
        </w:rPr>
        <w:t xml:space="preserve"> of MATH 1111 redesign program is incomplete without the narrative of the no-cost textbook initiative.  </w:t>
      </w:r>
      <w:r w:rsidR="0090180D">
        <w:rPr>
          <w:i/>
          <w:sz w:val="24"/>
          <w:szCs w:val="24"/>
        </w:rPr>
        <w:t>The story of MATH 1111 course redesign program is the story of MATH 1111 no-cost textbook project.  In Spring 2020, our course redesign research work was submitted and accepted for presentation at a Gateway to College Completion conference in Chicago, but due to the COVID-19 pandemic the actual in person presentation was cancelled. Indeed, there are future plans to share two inseparable stories at upcoming math conferences.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3"/>
  </w:num>
  <w:num w:numId="8">
    <w:abstractNumId w:val="7"/>
  </w:num>
  <w:num w:numId="9">
    <w:abstractNumId w:val="2"/>
  </w:num>
  <w:num w:numId="10">
    <w:abstractNumId w:val="11"/>
  </w:num>
  <w:num w:numId="11">
    <w:abstractNumId w:val="1"/>
  </w:num>
  <w:num w:numId="12">
    <w:abstractNumId w:val="12"/>
  </w:num>
  <w:num w:numId="13">
    <w:abstractNumId w:val="14"/>
  </w:num>
  <w:num w:numId="14">
    <w:abstractNumId w:val="10"/>
  </w:num>
  <w:num w:numId="15">
    <w:abstractNumId w:val="4"/>
  </w:num>
  <w:num w:numId="16">
    <w:abstractNumId w:val="17"/>
  </w:num>
  <w:num w:numId="17">
    <w:abstractNumId w:val="8"/>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101A24"/>
    <w:rsid w:val="00190A51"/>
    <w:rsid w:val="001A218C"/>
    <w:rsid w:val="001A2C41"/>
    <w:rsid w:val="001A5B06"/>
    <w:rsid w:val="001B2107"/>
    <w:rsid w:val="001D51FD"/>
    <w:rsid w:val="001E0EE3"/>
    <w:rsid w:val="001F4532"/>
    <w:rsid w:val="0020625C"/>
    <w:rsid w:val="00220718"/>
    <w:rsid w:val="00220876"/>
    <w:rsid w:val="00240544"/>
    <w:rsid w:val="00285B86"/>
    <w:rsid w:val="003038A8"/>
    <w:rsid w:val="0033401E"/>
    <w:rsid w:val="00346044"/>
    <w:rsid w:val="003E1BCB"/>
    <w:rsid w:val="003F4D85"/>
    <w:rsid w:val="00412003"/>
    <w:rsid w:val="00471C68"/>
    <w:rsid w:val="0048459F"/>
    <w:rsid w:val="004F2656"/>
    <w:rsid w:val="00512BCD"/>
    <w:rsid w:val="005212A0"/>
    <w:rsid w:val="00563669"/>
    <w:rsid w:val="005C11E8"/>
    <w:rsid w:val="005D28CD"/>
    <w:rsid w:val="00630263"/>
    <w:rsid w:val="006639BA"/>
    <w:rsid w:val="00684A25"/>
    <w:rsid w:val="00687254"/>
    <w:rsid w:val="006973B1"/>
    <w:rsid w:val="006A36A9"/>
    <w:rsid w:val="006D351B"/>
    <w:rsid w:val="0072456B"/>
    <w:rsid w:val="0073273B"/>
    <w:rsid w:val="00756F50"/>
    <w:rsid w:val="00772C9F"/>
    <w:rsid w:val="007752E5"/>
    <w:rsid w:val="00811187"/>
    <w:rsid w:val="00835A29"/>
    <w:rsid w:val="00850D0C"/>
    <w:rsid w:val="00871BC4"/>
    <w:rsid w:val="0090180D"/>
    <w:rsid w:val="00945780"/>
    <w:rsid w:val="0097575D"/>
    <w:rsid w:val="00987DD6"/>
    <w:rsid w:val="009B5ABF"/>
    <w:rsid w:val="00A06E45"/>
    <w:rsid w:val="00A16F5A"/>
    <w:rsid w:val="00A33EC1"/>
    <w:rsid w:val="00A603CE"/>
    <w:rsid w:val="00AF4890"/>
    <w:rsid w:val="00B242D9"/>
    <w:rsid w:val="00B516BC"/>
    <w:rsid w:val="00B82DF2"/>
    <w:rsid w:val="00B90CC8"/>
    <w:rsid w:val="00B94858"/>
    <w:rsid w:val="00BB3A0C"/>
    <w:rsid w:val="00BC7B15"/>
    <w:rsid w:val="00BF3C8A"/>
    <w:rsid w:val="00C33017"/>
    <w:rsid w:val="00C45872"/>
    <w:rsid w:val="00C66162"/>
    <w:rsid w:val="00C749E5"/>
    <w:rsid w:val="00C807D1"/>
    <w:rsid w:val="00C80819"/>
    <w:rsid w:val="00C96BCC"/>
    <w:rsid w:val="00CB083C"/>
    <w:rsid w:val="00CE0F2F"/>
    <w:rsid w:val="00D11976"/>
    <w:rsid w:val="00D943ED"/>
    <w:rsid w:val="00DC2BFF"/>
    <w:rsid w:val="00DD3803"/>
    <w:rsid w:val="00DD5245"/>
    <w:rsid w:val="00DF79E1"/>
    <w:rsid w:val="00E155D0"/>
    <w:rsid w:val="00E167BE"/>
    <w:rsid w:val="00E34FAA"/>
    <w:rsid w:val="00E37FD2"/>
    <w:rsid w:val="00EE35AB"/>
    <w:rsid w:val="00EE7C7E"/>
    <w:rsid w:val="00F6782A"/>
    <w:rsid w:val="00F70B70"/>
    <w:rsid w:val="00FE0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7245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openstax.org/details/books/algebra-and-trigonometry" TargetMode="External"/><Relationship Id="rId4" Type="http://schemas.openxmlformats.org/officeDocument/2006/relationships/numbering" Target="numbering.xml"/><Relationship Id="rId9" Type="http://schemas.openxmlformats.org/officeDocument/2006/relationships/hyperlink" Target="https://openstax.org/details/books/algebra-and-trigonome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2415</Words>
  <Characters>13768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Dolo, Samuel</cp:lastModifiedBy>
  <cp:revision>9</cp:revision>
  <dcterms:created xsi:type="dcterms:W3CDTF">2020-08-14T20:08:00Z</dcterms:created>
  <dcterms:modified xsi:type="dcterms:W3CDTF">2020-08-15T00:14:00Z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