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CF1EED" w:rsidP="0067503D" w:rsidRDefault="0067503D" w14:paraId="5DA7323B" w14:textId="39EB55FA">
      <w:pPr>
        <w:pStyle w:val="Heading1"/>
      </w:pPr>
      <w:r>
        <w:t xml:space="preserve">CHAPTER 7 – MEIOSIS </w:t>
      </w:r>
    </w:p>
    <w:p w:rsidR="00EA1D8A" w:rsidP="0058291C" w:rsidRDefault="00EA1D8A" w14:paraId="796F657A" w14:textId="77777777">
      <w:pPr>
        <w:pStyle w:val="NoSpacing"/>
      </w:pPr>
      <w:r>
        <w:t>The goals of this activity are to:</w:t>
      </w:r>
    </w:p>
    <w:p w:rsidR="00EA1D8A" w:rsidP="0058291C" w:rsidRDefault="00EA1D8A" w14:paraId="4194F28E" w14:textId="0F748E37">
      <w:pPr>
        <w:pStyle w:val="NoSpacing"/>
        <w:numPr>
          <w:ilvl w:val="0"/>
          <w:numId w:val="3"/>
        </w:numPr>
      </w:pPr>
      <w:r>
        <w:t>Familiarize yourself with th</w:t>
      </w:r>
      <w:r>
        <w:t>e steps of Meiosis</w:t>
      </w:r>
    </w:p>
    <w:p w:rsidR="00EA1D8A" w:rsidP="0058291C" w:rsidRDefault="00EA1D8A" w14:paraId="0A2A12EC" w14:textId="3BFC4F5B">
      <w:pPr>
        <w:pStyle w:val="NoSpacing"/>
        <w:numPr>
          <w:ilvl w:val="0"/>
          <w:numId w:val="3"/>
        </w:numPr>
      </w:pPr>
      <w:r>
        <w:t>Demonstrate understanding of the differences b</w:t>
      </w:r>
      <w:r>
        <w:t>etween Meiosis and Mitosis</w:t>
      </w:r>
    </w:p>
    <w:p w:rsidR="00EA1D8A" w:rsidP="0058291C" w:rsidRDefault="00EA1D8A" w14:paraId="0B249957" w14:textId="04EF4C92">
      <w:pPr>
        <w:pStyle w:val="NoSpacing"/>
        <w:numPr>
          <w:ilvl w:val="0"/>
          <w:numId w:val="3"/>
        </w:numPr>
      </w:pPr>
      <w:r>
        <w:t xml:space="preserve">Understand the behavior of the chromosomes during each phase of the Meiosis and Mitosis. </w:t>
      </w:r>
    </w:p>
    <w:p w:rsidR="00EA1D8A" w:rsidP="00EA1D8A" w:rsidRDefault="00EA1D8A" w14:paraId="3292F102" w14:textId="77777777">
      <w:pPr>
        <w:pStyle w:val="ListParagraph"/>
        <w:numPr>
          <w:ilvl w:val="0"/>
          <w:numId w:val="1"/>
        </w:numPr>
      </w:pPr>
      <w:r>
        <w:t xml:space="preserve">Download this worksheet and save it on your computer. </w:t>
      </w:r>
    </w:p>
    <w:p w:rsidR="00EA1D8A" w:rsidP="00EA1D8A" w:rsidRDefault="00EA1D8A" w14:paraId="5FB4B78F" w14:textId="40740F91">
      <w:pPr>
        <w:pStyle w:val="ListParagraph"/>
        <w:numPr>
          <w:ilvl w:val="0"/>
          <w:numId w:val="1"/>
        </w:numPr>
        <w:rPr/>
      </w:pPr>
      <w:r w:rsidR="00EA1D8A">
        <w:rPr/>
        <w:t>Watch the videos that will go through the steps of the</w:t>
      </w:r>
      <w:r w:rsidR="297C5EEC">
        <w:rPr/>
        <w:t xml:space="preserve"> cellular divisions</w:t>
      </w:r>
      <w:r w:rsidR="00EA1D8A">
        <w:rPr/>
        <w:t>. The videos can be found on D2L</w:t>
      </w:r>
      <w:r w:rsidR="00EA1D8A">
        <w:rPr/>
        <w:t xml:space="preserve"> in t</w:t>
      </w:r>
      <w:r w:rsidR="00EA1D8A">
        <w:rPr/>
        <w:t>he “</w:t>
      </w:r>
      <w:r w:rsidR="00EA1D8A">
        <w:rPr/>
        <w:t>C</w:t>
      </w:r>
      <w:r w:rsidR="00EA1D8A">
        <w:rPr/>
        <w:t>hptr</w:t>
      </w:r>
      <w:r w:rsidR="00EA1D8A">
        <w:rPr/>
        <w:t xml:space="preserve"> 7</w:t>
      </w:r>
      <w:r w:rsidR="00EA1D8A">
        <w:rPr/>
        <w:t xml:space="preserve"> – assignment” module. </w:t>
      </w:r>
    </w:p>
    <w:p w:rsidR="00EA1D8A" w:rsidP="00EA1D8A" w:rsidRDefault="00EA1D8A" w14:paraId="04DB3049" w14:textId="2C658EA4">
      <w:pPr>
        <w:pStyle w:val="ListParagraph"/>
        <w:numPr>
          <w:ilvl w:val="0"/>
          <w:numId w:val="1"/>
        </w:numPr>
      </w:pPr>
      <w:r>
        <w:t xml:space="preserve">Your task is to add find out which features from first column is present in each type of cell division and mark with “yes” or “no” if not present. </w:t>
      </w:r>
      <w:r w:rsidR="0058291C">
        <w:t>In addition</w:t>
      </w:r>
      <w:r>
        <w:t xml:space="preserve">, for the location you have to put down the type of cells that matches each cell division. </w:t>
      </w:r>
    </w:p>
    <w:p w:rsidR="00EA1D8A" w:rsidP="00EA1D8A" w:rsidRDefault="00EA1D8A" w14:paraId="7C4EAFC1" w14:textId="77777777">
      <w:pPr>
        <w:pStyle w:val="ListParagraph"/>
        <w:numPr>
          <w:ilvl w:val="0"/>
          <w:numId w:val="1"/>
        </w:numPr>
      </w:pPr>
      <w:r>
        <w:t>Once you finish:</w:t>
      </w:r>
    </w:p>
    <w:p w:rsidR="00EA1D8A" w:rsidP="00EA1D8A" w:rsidRDefault="00EA1D8A" w14:paraId="71B98070" w14:textId="77777777">
      <w:pPr>
        <w:pStyle w:val="ListParagraph"/>
        <w:numPr>
          <w:ilvl w:val="1"/>
          <w:numId w:val="1"/>
        </w:numPr>
      </w:pPr>
      <w:proofErr w:type="gramStart"/>
      <w:r>
        <w:t>save</w:t>
      </w:r>
      <w:proofErr w:type="gramEnd"/>
      <w:r>
        <w:t xml:space="preserve"> the document then upload it under the “Assessments” then “Assignments” on D2L. </w:t>
      </w:r>
    </w:p>
    <w:tbl>
      <w:tblPr>
        <w:tblStyle w:val="TableGrid"/>
        <w:tblpPr w:leftFromText="180" w:rightFromText="180" w:vertAnchor="page" w:horzAnchor="margin" w:tblpXSpec="center" w:tblpY="5833"/>
        <w:tblW w:w="7915" w:type="dxa"/>
        <w:tblLook w:val="04A0" w:firstRow="1" w:lastRow="0" w:firstColumn="1" w:lastColumn="0" w:noHBand="0" w:noVBand="1"/>
      </w:tblPr>
      <w:tblGrid>
        <w:gridCol w:w="3325"/>
        <w:gridCol w:w="2250"/>
        <w:gridCol w:w="2340"/>
      </w:tblGrid>
      <w:tr w:rsidR="0058291C" w:rsidTr="0058291C" w14:paraId="725436D5" w14:textId="77777777">
        <w:trPr>
          <w:trHeight w:val="170"/>
        </w:trPr>
        <w:tc>
          <w:tcPr>
            <w:tcW w:w="3325" w:type="dxa"/>
          </w:tcPr>
          <w:p w:rsidRPr="0058291C" w:rsidR="0058291C" w:rsidP="0058291C" w:rsidRDefault="0058291C" w14:paraId="2AD83DD7" w14:textId="77777777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Pr="0058291C" w:rsidR="0058291C" w:rsidP="0058291C" w:rsidRDefault="0058291C" w14:paraId="44C91CD3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MEIOSIS</w:t>
            </w:r>
          </w:p>
        </w:tc>
        <w:tc>
          <w:tcPr>
            <w:tcW w:w="2340" w:type="dxa"/>
          </w:tcPr>
          <w:p w:rsidRPr="0058291C" w:rsidR="0058291C" w:rsidP="0058291C" w:rsidRDefault="0058291C" w14:paraId="72639B92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MITOSIS</w:t>
            </w:r>
          </w:p>
        </w:tc>
      </w:tr>
      <w:tr w:rsidR="0058291C" w:rsidTr="0058291C" w14:paraId="7DF24DBD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23C880E4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 xml:space="preserve">Location </w:t>
            </w:r>
          </w:p>
          <w:p w:rsidRPr="0058291C" w:rsidR="0058291C" w:rsidP="0058291C" w:rsidRDefault="0058291C" w14:paraId="5E0579E0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(sex cells or body cells)</w:t>
            </w:r>
          </w:p>
        </w:tc>
        <w:tc>
          <w:tcPr>
            <w:tcW w:w="2250" w:type="dxa"/>
          </w:tcPr>
          <w:p w:rsidRPr="0058291C" w:rsidR="0058291C" w:rsidP="0058291C" w:rsidRDefault="0058291C" w14:paraId="1321786B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061565E2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5AF18948" w14:textId="77777777">
        <w:trPr>
          <w:trHeight w:val="542"/>
        </w:trPr>
        <w:tc>
          <w:tcPr>
            <w:tcW w:w="3325" w:type="dxa"/>
          </w:tcPr>
          <w:p w:rsidRPr="0058291C" w:rsidR="0058291C" w:rsidP="0058291C" w:rsidRDefault="0058291C" w14:paraId="539D462B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 xml:space="preserve">S-phase of the Interphase </w:t>
            </w:r>
          </w:p>
          <w:p w:rsidRPr="0058291C" w:rsidR="0058291C" w:rsidP="0058291C" w:rsidRDefault="0058291C" w14:paraId="5399B8DC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(DNA replication or duplication)</w:t>
            </w:r>
          </w:p>
        </w:tc>
        <w:tc>
          <w:tcPr>
            <w:tcW w:w="2250" w:type="dxa"/>
          </w:tcPr>
          <w:p w:rsidRPr="0058291C" w:rsidR="0058291C" w:rsidP="0058291C" w:rsidRDefault="0058291C" w14:paraId="4B55B693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3249F966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13DF9D09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7F2C7714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 xml:space="preserve">Synapsis </w:t>
            </w:r>
          </w:p>
          <w:p w:rsidRPr="0058291C" w:rsidR="0058291C" w:rsidP="0058291C" w:rsidRDefault="0058291C" w14:paraId="67E137FE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(homologs in pairs)</w:t>
            </w:r>
          </w:p>
        </w:tc>
        <w:tc>
          <w:tcPr>
            <w:tcW w:w="2250" w:type="dxa"/>
          </w:tcPr>
          <w:p w:rsidRPr="0058291C" w:rsidR="0058291C" w:rsidP="0058291C" w:rsidRDefault="0058291C" w14:paraId="462E03AF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6E502671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20845BEF" w14:textId="77777777">
        <w:trPr>
          <w:trHeight w:val="542"/>
        </w:trPr>
        <w:tc>
          <w:tcPr>
            <w:tcW w:w="3325" w:type="dxa"/>
          </w:tcPr>
          <w:p w:rsidRPr="0058291C" w:rsidR="0058291C" w:rsidP="0058291C" w:rsidRDefault="0058291C" w14:paraId="04982FF9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Crossing-over</w:t>
            </w:r>
          </w:p>
          <w:p w:rsidRPr="0058291C" w:rsidR="0058291C" w:rsidP="0058291C" w:rsidRDefault="0058291C" w14:paraId="5D7524CB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(exchange of DNA)</w:t>
            </w:r>
          </w:p>
        </w:tc>
        <w:tc>
          <w:tcPr>
            <w:tcW w:w="2250" w:type="dxa"/>
          </w:tcPr>
          <w:p w:rsidRPr="0058291C" w:rsidR="0058291C" w:rsidP="0058291C" w:rsidRDefault="0058291C" w14:paraId="72116891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20E5874D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30B47586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10C793D4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Random or independent assortment</w:t>
            </w:r>
          </w:p>
        </w:tc>
        <w:tc>
          <w:tcPr>
            <w:tcW w:w="2250" w:type="dxa"/>
          </w:tcPr>
          <w:p w:rsidRPr="0058291C" w:rsidR="0058291C" w:rsidP="0058291C" w:rsidRDefault="0058291C" w14:paraId="537EE1BD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45A6F291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59B1C02F" w14:textId="77777777">
        <w:trPr>
          <w:trHeight w:val="542"/>
        </w:trPr>
        <w:tc>
          <w:tcPr>
            <w:tcW w:w="3325" w:type="dxa"/>
          </w:tcPr>
          <w:p w:rsidRPr="0058291C" w:rsidR="0058291C" w:rsidP="0058291C" w:rsidRDefault="0058291C" w14:paraId="160D6F26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Pairs of Homologs in metaphase plate</w:t>
            </w:r>
          </w:p>
        </w:tc>
        <w:tc>
          <w:tcPr>
            <w:tcW w:w="2250" w:type="dxa"/>
          </w:tcPr>
          <w:p w:rsidRPr="0058291C" w:rsidR="0058291C" w:rsidP="0058291C" w:rsidRDefault="0058291C" w14:paraId="1C6DB3A3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37913BD9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66A5FDB3" w14:textId="77777777">
        <w:trPr>
          <w:trHeight w:val="542"/>
        </w:trPr>
        <w:tc>
          <w:tcPr>
            <w:tcW w:w="3325" w:type="dxa"/>
          </w:tcPr>
          <w:p w:rsidRPr="0058291C" w:rsidR="0058291C" w:rsidP="0058291C" w:rsidRDefault="0058291C" w14:paraId="1326A870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Individual chromosomes in metaphase plate</w:t>
            </w:r>
          </w:p>
        </w:tc>
        <w:tc>
          <w:tcPr>
            <w:tcW w:w="2250" w:type="dxa"/>
          </w:tcPr>
          <w:p w:rsidRPr="0058291C" w:rsidR="0058291C" w:rsidP="0058291C" w:rsidRDefault="0058291C" w14:paraId="4D18909A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42703B76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0FE0A9FE" w14:textId="77777777">
        <w:trPr>
          <w:trHeight w:val="458"/>
        </w:trPr>
        <w:tc>
          <w:tcPr>
            <w:tcW w:w="3325" w:type="dxa"/>
          </w:tcPr>
          <w:p w:rsidRPr="0058291C" w:rsidR="0058291C" w:rsidP="0058291C" w:rsidRDefault="0058291C" w14:paraId="0902A215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Homologs pairs separate in anaphase</w:t>
            </w:r>
          </w:p>
        </w:tc>
        <w:tc>
          <w:tcPr>
            <w:tcW w:w="2250" w:type="dxa"/>
          </w:tcPr>
          <w:p w:rsidRPr="0058291C" w:rsidR="0058291C" w:rsidP="0058291C" w:rsidRDefault="0058291C" w14:paraId="4510C23D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2EF88A5C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2B611516" w14:textId="77777777">
        <w:trPr>
          <w:trHeight w:val="542"/>
        </w:trPr>
        <w:tc>
          <w:tcPr>
            <w:tcW w:w="3325" w:type="dxa"/>
          </w:tcPr>
          <w:p w:rsidRPr="0058291C" w:rsidR="0058291C" w:rsidP="0058291C" w:rsidRDefault="0058291C" w14:paraId="38E61C16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Sister chromatids separate in anaphase</w:t>
            </w:r>
          </w:p>
        </w:tc>
        <w:tc>
          <w:tcPr>
            <w:tcW w:w="2250" w:type="dxa"/>
          </w:tcPr>
          <w:p w:rsidRPr="0058291C" w:rsidR="0058291C" w:rsidP="0058291C" w:rsidRDefault="0058291C" w14:paraId="6ED05546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4964641A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1E0B9D27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4672A616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Half Nr. Of chromosomes in each daughter cells</w:t>
            </w:r>
          </w:p>
        </w:tc>
        <w:tc>
          <w:tcPr>
            <w:tcW w:w="2250" w:type="dxa"/>
          </w:tcPr>
          <w:p w:rsidRPr="0058291C" w:rsidR="0058291C" w:rsidP="0058291C" w:rsidRDefault="0058291C" w14:paraId="375A8391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267628E5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7274087B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3E98B157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Same Nr. Of chromosomes in each daughter cells</w:t>
            </w:r>
          </w:p>
        </w:tc>
        <w:tc>
          <w:tcPr>
            <w:tcW w:w="2250" w:type="dxa"/>
          </w:tcPr>
          <w:p w:rsidRPr="0058291C" w:rsidR="0058291C" w:rsidP="0058291C" w:rsidRDefault="0058291C" w14:paraId="02D83E16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3CD27F8D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011197A2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687659BB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Recombinant DNA in daughter cells</w:t>
            </w:r>
          </w:p>
        </w:tc>
        <w:tc>
          <w:tcPr>
            <w:tcW w:w="2250" w:type="dxa"/>
          </w:tcPr>
          <w:p w:rsidRPr="0058291C" w:rsidR="0058291C" w:rsidP="0058291C" w:rsidRDefault="0058291C" w14:paraId="1F5D4F4D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59B7F3D2" w14:textId="77777777">
            <w:pPr>
              <w:rPr>
                <w:sz w:val="20"/>
                <w:szCs w:val="20"/>
              </w:rPr>
            </w:pPr>
          </w:p>
        </w:tc>
      </w:tr>
      <w:tr w:rsidR="0058291C" w:rsidTr="0058291C" w14:paraId="5E170272" w14:textId="77777777">
        <w:trPr>
          <w:trHeight w:val="512"/>
        </w:trPr>
        <w:tc>
          <w:tcPr>
            <w:tcW w:w="3325" w:type="dxa"/>
          </w:tcPr>
          <w:p w:rsidRPr="0058291C" w:rsidR="0058291C" w:rsidP="0058291C" w:rsidRDefault="0058291C" w14:paraId="1AF2DB40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8291C">
              <w:rPr>
                <w:b/>
                <w:bCs/>
                <w:sz w:val="20"/>
                <w:szCs w:val="20"/>
              </w:rPr>
              <w:t>Replicated chromosomes in daughter cells</w:t>
            </w:r>
          </w:p>
        </w:tc>
        <w:tc>
          <w:tcPr>
            <w:tcW w:w="2250" w:type="dxa"/>
          </w:tcPr>
          <w:p w:rsidRPr="0058291C" w:rsidR="0058291C" w:rsidP="0058291C" w:rsidRDefault="0058291C" w14:paraId="71D1DEF8" w14:textId="7777777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Pr="0058291C" w:rsidR="0058291C" w:rsidP="0058291C" w:rsidRDefault="0058291C" w14:paraId="1B63C8B2" w14:textId="77777777">
            <w:pPr>
              <w:rPr>
                <w:sz w:val="20"/>
                <w:szCs w:val="20"/>
              </w:rPr>
            </w:pPr>
          </w:p>
        </w:tc>
      </w:tr>
    </w:tbl>
    <w:p w:rsidRPr="0067503D" w:rsidR="00150254" w:rsidP="0067503D" w:rsidRDefault="00150254" w14:paraId="0BC2E406" w14:textId="77777777"/>
    <w:p w:rsidR="000B2500" w:rsidRDefault="000B2500" w14:paraId="1B0F5C73" w14:textId="440F66F3"/>
    <w:p w:rsidR="00EA1D8A" w:rsidRDefault="00EA1D8A" w14:paraId="006836DD" w14:textId="390D5A7B"/>
    <w:p w:rsidR="00EA1D8A" w:rsidRDefault="00EA1D8A" w14:paraId="5055023E" w14:textId="6843D96A"/>
    <w:p w:rsidR="00EA1D8A" w:rsidRDefault="00EA1D8A" w14:paraId="0DF8AFFF" w14:textId="1884801D"/>
    <w:p w:rsidR="00EA1D8A" w:rsidRDefault="00EA1D8A" w14:paraId="2E338E09" w14:textId="0ADCBD46"/>
    <w:p w:rsidR="00EA1D8A" w:rsidRDefault="00EA1D8A" w14:paraId="5155DD47" w14:textId="6616C522"/>
    <w:p w:rsidR="00EA1D8A" w:rsidRDefault="00EA1D8A" w14:paraId="1295891D" w14:textId="77777777"/>
    <w:p w:rsidR="000B2500" w:rsidRDefault="000B2500" w14:paraId="23513CEC" w14:textId="7E9AE7B2"/>
    <w:p w:rsidR="000B2500" w:rsidRDefault="000B2500" w14:paraId="17B7A030" w14:textId="7A89031D"/>
    <w:p w:rsidR="000B2500" w:rsidRDefault="000B2500" w14:paraId="754959C8" w14:textId="1A063D61"/>
    <w:p w:rsidR="000B2500" w:rsidRDefault="000B2500" w14:paraId="7C6D5F1E" w14:textId="0AE6FA89">
      <w:bookmarkStart w:name="_GoBack" w:id="0"/>
      <w:bookmarkEnd w:id="0"/>
    </w:p>
    <w:p w:rsidR="000B2500" w:rsidRDefault="000B2500" w14:paraId="5A261E54" w14:textId="03665E14"/>
    <w:p w:rsidR="000B2500" w:rsidRDefault="000B2500" w14:paraId="0933C56A" w14:textId="33C5A894"/>
    <w:p w:rsidR="0058291C" w:rsidRDefault="0058291C" w14:paraId="40E11573" w14:textId="77777777"/>
    <w:p w:rsidR="000B2500" w:rsidRDefault="000B2500" w14:paraId="1F594844" w14:textId="2DDB5192"/>
    <w:p w:rsidR="0058291C" w:rsidRDefault="0058291C" w14:paraId="51D5191E" w14:textId="77777777"/>
    <w:p w:rsidR="000B2500" w:rsidP="000B2500" w:rsidRDefault="000B2500" w14:paraId="774A207E" w14:textId="76BC81B8">
      <w:r w:rsidRPr="00EA1D8A">
        <w:rPr>
          <w:noProof/>
        </w:rPr>
        <w:drawing>
          <wp:anchor distT="0" distB="0" distL="114300" distR="114300" simplePos="0" relativeHeight="251658240" behindDoc="0" locked="0" layoutInCell="1" allowOverlap="1" wp14:anchorId="6CC1751B" wp14:editId="0D1734F5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1D8A">
        <w:t xml:space="preserve">This work </w:t>
      </w:r>
      <w:proofErr w:type="gramStart"/>
      <w:r w:rsidRPr="00EA1D8A">
        <w:t>is copyrighted</w:t>
      </w:r>
      <w:proofErr w:type="gramEnd"/>
      <w:r w:rsidRPr="00EA1D8A">
        <w:t xml:space="preserve"> under the </w:t>
      </w:r>
      <w:hyperlink w:history="1" r:id="rId6">
        <w:r w:rsidRPr="00EA1D8A">
          <w:rPr>
            <w:rStyle w:val="Hyperlink"/>
          </w:rPr>
          <w:t>cc.by 4.0 license</w:t>
        </w:r>
      </w:hyperlink>
      <w:r w:rsidRPr="00EA1D8A">
        <w:t xml:space="preserve"> and was created by M.F. Sega as part of the ALG grant 18</w:t>
      </w:r>
      <w:r w:rsidRPr="00EA1D8A" w:rsidR="00EA1D8A">
        <w:t xml:space="preserve"> and modified for ALG round 25</w:t>
      </w:r>
      <w:r w:rsidRPr="00EA1D8A">
        <w:t>.</w:t>
      </w:r>
      <w:r>
        <w:t xml:space="preserve"> </w:t>
      </w:r>
    </w:p>
    <w:p w:rsidR="000B2500" w:rsidRDefault="000B2500" w14:paraId="16A86D01" w14:textId="77777777"/>
    <w:sectPr w:rsidR="000B250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3428"/>
    <w:multiLevelType w:val="hybridMultilevel"/>
    <w:tmpl w:val="2188E6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3567D5"/>
    <w:multiLevelType w:val="hybridMultilevel"/>
    <w:tmpl w:val="2782060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43612E63"/>
    <w:multiLevelType w:val="hybridMultilevel"/>
    <w:tmpl w:val="A028C9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B8"/>
    <w:rsid w:val="000B2500"/>
    <w:rsid w:val="00150254"/>
    <w:rsid w:val="003E72B8"/>
    <w:rsid w:val="0058291C"/>
    <w:rsid w:val="0067503D"/>
    <w:rsid w:val="00B62E99"/>
    <w:rsid w:val="00CF1EED"/>
    <w:rsid w:val="00D863DD"/>
    <w:rsid w:val="00E54DD7"/>
    <w:rsid w:val="00EA1D8A"/>
    <w:rsid w:val="00F91938"/>
    <w:rsid w:val="00FB321D"/>
    <w:rsid w:val="297C5EEC"/>
    <w:rsid w:val="569BA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52688"/>
  <w15:chartTrackingRefBased/>
  <w15:docId w15:val="{FB01268D-64FD-4766-9DC9-7E8C4A1F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03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0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67503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B250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1D8A"/>
    <w:pPr>
      <w:ind w:left="720"/>
      <w:contextualSpacing/>
    </w:pPr>
  </w:style>
  <w:style w:type="paragraph" w:styleId="NoSpacing">
    <w:name w:val="No Spacing"/>
    <w:uiPriority w:val="1"/>
    <w:qFormat/>
    <w:rsid w:val="005829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13</revision>
  <dcterms:created xsi:type="dcterms:W3CDTF">2021-08-02T21:52:00.0000000Z</dcterms:created>
  <dcterms:modified xsi:type="dcterms:W3CDTF">2024-08-07T17:47:32.6844840Z</dcterms:modified>
</coreProperties>
</file>