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3B1AF1D6"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E73942">
        <w:rPr>
          <w:sz w:val="24"/>
          <w:szCs w:val="24"/>
        </w:rPr>
        <w:t xml:space="preserve"> 12/16/24</w:t>
      </w:r>
    </w:p>
    <w:p w14:paraId="5677D815" w14:textId="0C1A4013" w:rsidR="007C0B4B" w:rsidRPr="004B6F78" w:rsidRDefault="007C0B4B" w:rsidP="00FB5060">
      <w:pPr>
        <w:ind w:left="360"/>
        <w:rPr>
          <w:sz w:val="24"/>
          <w:szCs w:val="24"/>
        </w:rPr>
      </w:pPr>
      <w:r w:rsidRPr="004B6F78">
        <w:rPr>
          <w:sz w:val="24"/>
          <w:szCs w:val="24"/>
        </w:rPr>
        <w:t>Grant Round:</w:t>
      </w:r>
      <w:r w:rsidR="00204619">
        <w:rPr>
          <w:sz w:val="24"/>
          <w:szCs w:val="24"/>
        </w:rPr>
        <w:t xml:space="preserve"> Dall 2024</w:t>
      </w:r>
    </w:p>
    <w:p w14:paraId="41045492" w14:textId="14F74FF5"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204619">
        <w:rPr>
          <w:sz w:val="24"/>
          <w:szCs w:val="24"/>
        </w:rPr>
        <w:t xml:space="preserve"> M274</w:t>
      </w:r>
    </w:p>
    <w:p w14:paraId="65C4B013" w14:textId="30E833DC"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E73942">
        <w:rPr>
          <w:sz w:val="24"/>
          <w:szCs w:val="24"/>
        </w:rPr>
        <w:t xml:space="preserve"> University of North Georgia</w:t>
      </w:r>
    </w:p>
    <w:p w14:paraId="505B1270" w14:textId="5106D2A6" w:rsidR="00E73942" w:rsidRDefault="00687254" w:rsidP="00E73942">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6139DDF0" w14:textId="555D2246" w:rsidR="00E73942" w:rsidRPr="004B6F78" w:rsidRDefault="00E73942" w:rsidP="00E73942">
      <w:pPr>
        <w:ind w:left="360"/>
        <w:rPr>
          <w:sz w:val="24"/>
          <w:szCs w:val="24"/>
        </w:rPr>
      </w:pPr>
      <w:r>
        <w:rPr>
          <w:sz w:val="24"/>
          <w:szCs w:val="24"/>
        </w:rPr>
        <w:t xml:space="preserve">John </w:t>
      </w:r>
      <w:proofErr w:type="spellStart"/>
      <w:r>
        <w:rPr>
          <w:sz w:val="24"/>
          <w:szCs w:val="24"/>
        </w:rPr>
        <w:t>Bragelman</w:t>
      </w:r>
      <w:proofErr w:type="spellEnd"/>
      <w:r>
        <w:rPr>
          <w:sz w:val="24"/>
          <w:szCs w:val="24"/>
        </w:rPr>
        <w:t>, Assistant Professor, Mathematics</w:t>
      </w:r>
      <w:r>
        <w:rPr>
          <w:sz w:val="24"/>
          <w:szCs w:val="24"/>
        </w:rPr>
        <w:br/>
        <w:t>Marnie Phipps, Professor, Mathematics</w:t>
      </w:r>
      <w:r>
        <w:rPr>
          <w:sz w:val="24"/>
          <w:szCs w:val="24"/>
        </w:rPr>
        <w:br/>
        <w:t>Patty Condit, Professor, Mathematics</w:t>
      </w:r>
      <w:r>
        <w:rPr>
          <w:sz w:val="24"/>
          <w:szCs w:val="24"/>
        </w:rPr>
        <w:br/>
        <w:t>Maryna Murdock, Professor, Finance</w:t>
      </w:r>
      <w:r>
        <w:rPr>
          <w:sz w:val="24"/>
          <w:szCs w:val="24"/>
        </w:rPr>
        <w:br/>
        <w:t>Luke Atwood, Undergraduate Assistant, Finance</w:t>
      </w:r>
    </w:p>
    <w:p w14:paraId="3FC9927E" w14:textId="1CB66663"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E73942">
        <w:rPr>
          <w:sz w:val="24"/>
          <w:szCs w:val="24"/>
        </w:rPr>
        <w:t xml:space="preserve"> John </w:t>
      </w:r>
      <w:proofErr w:type="spellStart"/>
      <w:r w:rsidR="00E73942">
        <w:rPr>
          <w:sz w:val="24"/>
          <w:szCs w:val="24"/>
        </w:rPr>
        <w:t>Bragelman</w:t>
      </w:r>
      <w:proofErr w:type="spellEnd"/>
    </w:p>
    <w:p w14:paraId="46A62745" w14:textId="57E7F07B"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E73942">
        <w:rPr>
          <w:sz w:val="24"/>
          <w:szCs w:val="24"/>
        </w:rPr>
        <w:t xml:space="preserve"> MAED 4201, Mathematics Education Seminar</w:t>
      </w:r>
    </w:p>
    <w:p w14:paraId="4D2A60B3" w14:textId="573E4980"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E73942">
        <w:rPr>
          <w:sz w:val="24"/>
          <w:szCs w:val="24"/>
        </w:rPr>
        <w:t xml:space="preserve"> Fall 2024</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6F2E13AC"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E73942">
        <w:rPr>
          <w:sz w:val="24"/>
          <w:szCs w:val="24"/>
        </w:rPr>
        <w:t xml:space="preserve"> 6</w:t>
      </w:r>
    </w:p>
    <w:p w14:paraId="05ADD94C" w14:textId="332EA935"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E73942">
        <w:rPr>
          <w:sz w:val="24"/>
          <w:szCs w:val="24"/>
        </w:rPr>
        <w:t xml:space="preserve"> 1</w:t>
      </w:r>
    </w:p>
    <w:p w14:paraId="038DDCB1" w14:textId="67723F11"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E73942">
        <w:rPr>
          <w:sz w:val="24"/>
          <w:szCs w:val="24"/>
        </w:rPr>
        <w:t xml:space="preserve"> 5</w:t>
      </w:r>
    </w:p>
    <w:p w14:paraId="017BB3CC" w14:textId="03D300E7" w:rsidR="009930E9" w:rsidRDefault="007C0B4B" w:rsidP="009930E9">
      <w:pPr>
        <w:pStyle w:val="Heading1"/>
        <w:numPr>
          <w:ilvl w:val="0"/>
          <w:numId w:val="17"/>
        </w:numPr>
        <w:ind w:left="360"/>
      </w:pPr>
      <w:r>
        <w:t xml:space="preserve">Project </w:t>
      </w:r>
      <w:r w:rsidR="00DF79E1" w:rsidRPr="004F2656">
        <w:t>Narrative</w:t>
      </w:r>
    </w:p>
    <w:p w14:paraId="1EF11FC4" w14:textId="50D659EF" w:rsidR="009930E9" w:rsidRPr="00083FB1" w:rsidRDefault="009930E9" w:rsidP="009930E9">
      <w:pPr>
        <w:rPr>
          <w:rFonts w:ascii="Times New Roman" w:hAnsi="Times New Roman" w:cs="Times New Roman"/>
          <w:b/>
          <w:bCs/>
        </w:rPr>
      </w:pPr>
      <w:r>
        <w:rPr>
          <w:rFonts w:ascii="Times New Roman" w:hAnsi="Times New Roman" w:cs="Times New Roman"/>
          <w:b/>
          <w:bCs/>
        </w:rPr>
        <w:br/>
      </w:r>
      <w:r w:rsidRPr="00083FB1">
        <w:rPr>
          <w:rFonts w:ascii="Times New Roman" w:hAnsi="Times New Roman" w:cs="Times New Roman"/>
          <w:b/>
          <w:bCs/>
        </w:rPr>
        <w:t>Project Goals</w:t>
      </w:r>
    </w:p>
    <w:p w14:paraId="2A71ED50" w14:textId="4A45129F" w:rsidR="009930E9" w:rsidRPr="005F17D3" w:rsidRDefault="009930E9" w:rsidP="009930E9">
      <w:pPr>
        <w:rPr>
          <w:rFonts w:ascii="Times" w:hAnsi="Times"/>
          <w:color w:val="000000"/>
        </w:rPr>
      </w:pPr>
      <w:r w:rsidRPr="005F17D3">
        <w:rPr>
          <w:rFonts w:ascii="Times" w:hAnsi="Times"/>
          <w:color w:val="000000"/>
        </w:rPr>
        <w:t>The Georgia Professional Standards Commission (</w:t>
      </w:r>
      <w:proofErr w:type="spellStart"/>
      <w:r w:rsidRPr="005F17D3">
        <w:rPr>
          <w:rFonts w:ascii="Times" w:hAnsi="Times"/>
          <w:color w:val="000000"/>
        </w:rPr>
        <w:t>GaPSC</w:t>
      </w:r>
      <w:proofErr w:type="spellEnd"/>
      <w:r w:rsidRPr="005F17D3">
        <w:rPr>
          <w:rFonts w:ascii="Times" w:hAnsi="Times"/>
          <w:color w:val="000000"/>
        </w:rPr>
        <w:t xml:space="preserve">) sets the requirements and standards for teacher preparation programs in the state of Georgia. In 2022, Senate Bill 2022 was passed into law. The bill requires financial literacy education for all high school students in the state. In response, the </w:t>
      </w:r>
      <w:proofErr w:type="spellStart"/>
      <w:r w:rsidRPr="005F17D3">
        <w:rPr>
          <w:rFonts w:ascii="Times" w:hAnsi="Times"/>
          <w:color w:val="000000"/>
        </w:rPr>
        <w:t>GaPSC</w:t>
      </w:r>
      <w:proofErr w:type="spellEnd"/>
      <w:r w:rsidRPr="005F17D3">
        <w:rPr>
          <w:rFonts w:ascii="Times" w:hAnsi="Times"/>
          <w:color w:val="000000"/>
        </w:rPr>
        <w:t xml:space="preserve"> added a financial literacy endorsement to provide standards and requirements for secondary mathematics teachers (grades 7-12) and other disciplines to teach financial literacy to high school students in eleventh and twelfth grades. The new financial literacy standards stipulate that teacher “candidates demonstrate and apply understandings of the six major financial literacy concepts of earning income, spending, saving, </w:t>
      </w:r>
      <w:r w:rsidRPr="005F17D3">
        <w:rPr>
          <w:rFonts w:ascii="Times" w:hAnsi="Times"/>
          <w:color w:val="000000"/>
        </w:rPr>
        <w:lastRenderedPageBreak/>
        <w:t>investing, managing credit, and managing risk to plan rigorous and engaging instruction supporting high school students’ practical application of financial literacy knowledge and skills.” As a result, secondary mathematics teacher preparation programs in the state of Georgia must now add a financial literacy component to their program requirements.</w:t>
      </w:r>
    </w:p>
    <w:p w14:paraId="62F85E86" w14:textId="56E82DB6" w:rsidR="009930E9" w:rsidRPr="009930E9" w:rsidRDefault="009930E9" w:rsidP="009930E9">
      <w:pPr>
        <w:rPr>
          <w:rFonts w:ascii="Times" w:hAnsi="Times"/>
          <w:color w:val="000000"/>
        </w:rPr>
      </w:pPr>
      <w:r w:rsidRPr="005F17D3">
        <w:rPr>
          <w:rFonts w:ascii="Times" w:hAnsi="Times"/>
          <w:color w:val="000000"/>
        </w:rPr>
        <w:t xml:space="preserve">This proposal seeks funding to develop a set of </w:t>
      </w:r>
      <w:r>
        <w:rPr>
          <w:rFonts w:ascii="Times" w:hAnsi="Times"/>
          <w:color w:val="000000"/>
        </w:rPr>
        <w:t xml:space="preserve">OER </w:t>
      </w:r>
      <w:r w:rsidRPr="005F17D3">
        <w:rPr>
          <w:rFonts w:ascii="Times" w:hAnsi="Times"/>
          <w:color w:val="000000"/>
        </w:rPr>
        <w:t xml:space="preserve">supplemental resources for our existing secondary mathematics teacher preparation courses for the new financial literacy standards. The supplemental resources will include (1) content modules for the six new financial literacy concepts for implementation in existing secondary mathematics teacher preparation courses and (2) mathematics tasks that align </w:t>
      </w:r>
      <w:r>
        <w:rPr>
          <w:rFonts w:ascii="Times" w:hAnsi="Times"/>
          <w:color w:val="000000"/>
        </w:rPr>
        <w:t>a</w:t>
      </w:r>
      <w:r w:rsidRPr="005F17D3">
        <w:rPr>
          <w:rFonts w:ascii="Times" w:hAnsi="Times"/>
          <w:color w:val="000000"/>
        </w:rPr>
        <w:t>cross the new financial literacy concepts and existing mathematics domains.</w:t>
      </w:r>
    </w:p>
    <w:p w14:paraId="6D4F1C02" w14:textId="77777777" w:rsidR="009930E9" w:rsidRPr="00E650A6" w:rsidRDefault="009930E9" w:rsidP="009930E9">
      <w:pPr>
        <w:rPr>
          <w:rFonts w:ascii="Times New Roman" w:hAnsi="Times New Roman" w:cs="Times New Roman"/>
          <w:b/>
          <w:bCs/>
        </w:rPr>
      </w:pPr>
      <w:r w:rsidRPr="00083FB1">
        <w:rPr>
          <w:rFonts w:ascii="Times New Roman" w:hAnsi="Times New Roman" w:cs="Times New Roman"/>
          <w:b/>
          <w:bCs/>
        </w:rPr>
        <w:t>Action Plan</w:t>
      </w:r>
    </w:p>
    <w:p w14:paraId="0EF2770F" w14:textId="5E35EDAE" w:rsidR="009930E9" w:rsidRDefault="009930E9" w:rsidP="009930E9">
      <w:pPr>
        <w:rPr>
          <w:rFonts w:ascii="Times New Roman" w:hAnsi="Times New Roman" w:cs="Times New Roman"/>
        </w:rPr>
      </w:pPr>
      <w:r>
        <w:rPr>
          <w:rFonts w:ascii="Times New Roman" w:hAnsi="Times New Roman" w:cs="Times New Roman"/>
        </w:rPr>
        <w:t>The project team d</w:t>
      </w:r>
      <w:r w:rsidRPr="00083FB1">
        <w:rPr>
          <w:rFonts w:ascii="Times New Roman" w:hAnsi="Times New Roman" w:cs="Times New Roman"/>
        </w:rPr>
        <w:t>evelop</w:t>
      </w:r>
      <w:r>
        <w:rPr>
          <w:rFonts w:ascii="Times New Roman" w:hAnsi="Times New Roman" w:cs="Times New Roman"/>
        </w:rPr>
        <w:t>ed</w:t>
      </w:r>
      <w:r w:rsidRPr="00083FB1">
        <w:rPr>
          <w:rFonts w:ascii="Times New Roman" w:hAnsi="Times New Roman" w:cs="Times New Roman"/>
        </w:rPr>
        <w:t xml:space="preserve"> </w:t>
      </w:r>
      <w:r>
        <w:rPr>
          <w:rFonts w:ascii="Times New Roman" w:hAnsi="Times New Roman" w:cs="Times New Roman"/>
        </w:rPr>
        <w:t>five</w:t>
      </w:r>
      <w:r w:rsidRPr="00083FB1">
        <w:rPr>
          <w:rFonts w:ascii="Times New Roman" w:hAnsi="Times New Roman" w:cs="Times New Roman"/>
        </w:rPr>
        <w:t xml:space="preserve"> content modules </w:t>
      </w:r>
      <w:r>
        <w:rPr>
          <w:rFonts w:ascii="Times New Roman" w:hAnsi="Times New Roman" w:cs="Times New Roman"/>
        </w:rPr>
        <w:t>that were</w:t>
      </w:r>
      <w:r w:rsidRPr="00083FB1">
        <w:rPr>
          <w:rFonts w:ascii="Times New Roman" w:hAnsi="Times New Roman" w:cs="Times New Roman"/>
        </w:rPr>
        <w:t xml:space="preserve"> implemented in</w:t>
      </w:r>
      <w:r>
        <w:rPr>
          <w:rFonts w:ascii="Times New Roman" w:hAnsi="Times New Roman" w:cs="Times New Roman"/>
        </w:rPr>
        <w:t xml:space="preserve"> the </w:t>
      </w:r>
      <w:r w:rsidRPr="00083FB1">
        <w:rPr>
          <w:rFonts w:ascii="Times New Roman" w:hAnsi="Times New Roman" w:cs="Times New Roman"/>
        </w:rPr>
        <w:t xml:space="preserve">Mathematics Education Seminar – </w:t>
      </w:r>
      <w:r>
        <w:rPr>
          <w:rFonts w:ascii="Times New Roman" w:hAnsi="Times New Roman" w:cs="Times New Roman"/>
        </w:rPr>
        <w:t>UNG’s</w:t>
      </w:r>
      <w:r w:rsidRPr="00083FB1">
        <w:rPr>
          <w:rFonts w:ascii="Times New Roman" w:hAnsi="Times New Roman" w:cs="Times New Roman"/>
        </w:rPr>
        <w:t xml:space="preserve"> content course for secondary mathematics teachers. </w:t>
      </w:r>
      <w:r>
        <w:rPr>
          <w:rFonts w:ascii="Times New Roman" w:hAnsi="Times New Roman" w:cs="Times New Roman"/>
        </w:rPr>
        <w:t xml:space="preserve">The modules </w:t>
      </w:r>
      <w:proofErr w:type="gramStart"/>
      <w:r>
        <w:rPr>
          <w:rFonts w:ascii="Times New Roman" w:hAnsi="Times New Roman" w:cs="Times New Roman"/>
        </w:rPr>
        <w:t>include</w:t>
      </w:r>
      <w:r>
        <w:rPr>
          <w:rFonts w:ascii="Times New Roman" w:hAnsi="Times New Roman" w:cs="Times New Roman"/>
        </w:rPr>
        <w:t>s</w:t>
      </w:r>
      <w:proofErr w:type="gramEnd"/>
      <w:r>
        <w:rPr>
          <w:rFonts w:ascii="Times New Roman" w:hAnsi="Times New Roman" w:cs="Times New Roman"/>
        </w:rPr>
        <w:t xml:space="preserve"> the following:</w:t>
      </w:r>
    </w:p>
    <w:p w14:paraId="06CE3785" w14:textId="77777777" w:rsidR="009930E9" w:rsidRDefault="009930E9" w:rsidP="009930E9">
      <w:pPr>
        <w:pStyle w:val="ListParagraph"/>
        <w:numPr>
          <w:ilvl w:val="0"/>
          <w:numId w:val="18"/>
        </w:numPr>
        <w:spacing w:after="0" w:line="240" w:lineRule="auto"/>
        <w:rPr>
          <w:rFonts w:ascii="Times New Roman" w:hAnsi="Times New Roman" w:cs="Times New Roman"/>
        </w:rPr>
      </w:pPr>
      <w:r w:rsidRPr="00ED1A13">
        <w:rPr>
          <w:rFonts w:ascii="Times New Roman" w:hAnsi="Times New Roman" w:cs="Times New Roman"/>
        </w:rPr>
        <w:t>Earning income</w:t>
      </w:r>
      <w:r>
        <w:rPr>
          <w:rFonts w:ascii="Times New Roman" w:hAnsi="Times New Roman" w:cs="Times New Roman"/>
        </w:rPr>
        <w:t>, spending, &amp; saving</w:t>
      </w:r>
    </w:p>
    <w:p w14:paraId="30349E38" w14:textId="77777777" w:rsidR="009930E9" w:rsidRDefault="009930E9" w:rsidP="009930E9">
      <w:pPr>
        <w:pStyle w:val="ListParagraph"/>
        <w:numPr>
          <w:ilvl w:val="0"/>
          <w:numId w:val="18"/>
        </w:numPr>
        <w:spacing w:after="0" w:line="240" w:lineRule="auto"/>
        <w:rPr>
          <w:rFonts w:ascii="Times New Roman" w:hAnsi="Times New Roman" w:cs="Times New Roman"/>
        </w:rPr>
      </w:pPr>
      <w:r>
        <w:rPr>
          <w:rFonts w:ascii="Times New Roman" w:hAnsi="Times New Roman" w:cs="Times New Roman"/>
        </w:rPr>
        <w:t>Managing credit</w:t>
      </w:r>
    </w:p>
    <w:p w14:paraId="6DA686F5" w14:textId="77777777" w:rsidR="009930E9" w:rsidRDefault="009930E9" w:rsidP="009930E9">
      <w:pPr>
        <w:pStyle w:val="ListParagraph"/>
        <w:numPr>
          <w:ilvl w:val="0"/>
          <w:numId w:val="18"/>
        </w:numPr>
        <w:spacing w:after="0" w:line="240" w:lineRule="auto"/>
        <w:rPr>
          <w:rFonts w:ascii="Times New Roman" w:hAnsi="Times New Roman" w:cs="Times New Roman"/>
        </w:rPr>
      </w:pPr>
      <w:r>
        <w:rPr>
          <w:rFonts w:ascii="Times New Roman" w:hAnsi="Times New Roman" w:cs="Times New Roman"/>
        </w:rPr>
        <w:t>Managing risk</w:t>
      </w:r>
    </w:p>
    <w:p w14:paraId="2894632F" w14:textId="77777777" w:rsidR="009930E9" w:rsidRDefault="009930E9" w:rsidP="009930E9">
      <w:pPr>
        <w:pStyle w:val="ListParagraph"/>
        <w:numPr>
          <w:ilvl w:val="0"/>
          <w:numId w:val="18"/>
        </w:numPr>
        <w:spacing w:after="0" w:line="240" w:lineRule="auto"/>
        <w:rPr>
          <w:rFonts w:ascii="Times New Roman" w:hAnsi="Times New Roman" w:cs="Times New Roman"/>
        </w:rPr>
      </w:pPr>
      <w:r>
        <w:rPr>
          <w:rFonts w:ascii="Times New Roman" w:hAnsi="Times New Roman" w:cs="Times New Roman"/>
        </w:rPr>
        <w:t>Investing - renting vs. buying a home</w:t>
      </w:r>
    </w:p>
    <w:p w14:paraId="2B2DF971" w14:textId="6FA60EE8" w:rsidR="009930E9" w:rsidRPr="009930E9" w:rsidRDefault="009930E9" w:rsidP="009930E9">
      <w:pPr>
        <w:pStyle w:val="ListParagraph"/>
        <w:numPr>
          <w:ilvl w:val="0"/>
          <w:numId w:val="18"/>
        </w:numPr>
        <w:spacing w:after="0" w:line="240" w:lineRule="auto"/>
        <w:rPr>
          <w:rFonts w:ascii="Times New Roman" w:hAnsi="Times New Roman" w:cs="Times New Roman"/>
        </w:rPr>
      </w:pPr>
      <w:r>
        <w:rPr>
          <w:rFonts w:ascii="Times New Roman" w:hAnsi="Times New Roman" w:cs="Times New Roman"/>
        </w:rPr>
        <w:t>Investing – saving for retirement</w:t>
      </w:r>
      <w:r>
        <w:rPr>
          <w:rFonts w:ascii="Times New Roman" w:hAnsi="Times New Roman" w:cs="Times New Roman"/>
        </w:rPr>
        <w:br/>
      </w:r>
    </w:p>
    <w:p w14:paraId="7C5C8B00" w14:textId="6DE59FE1" w:rsidR="009930E9" w:rsidRPr="00947694" w:rsidRDefault="009930E9" w:rsidP="009930E9">
      <w:pPr>
        <w:rPr>
          <w:rFonts w:ascii="Times New Roman" w:hAnsi="Times New Roman" w:cs="Times New Roman"/>
        </w:rPr>
      </w:pPr>
      <w:r w:rsidRPr="00947694">
        <w:rPr>
          <w:rFonts w:ascii="Times New Roman" w:hAnsi="Times New Roman" w:cs="Times New Roman"/>
        </w:rPr>
        <w:t>Coursework in our teacher preparation program for future secondary math teachers includes coursework on several critical areas. These areas include the following: how to assess mathematics teaching and learning; principles of classroom management and supporting students with diverse learning needs; planning and implementing lessons that align with current, research-based best practices; how to teach mathematics; and finally, the special content knowledge required for teaching. The new financial literacy modules w</w:t>
      </w:r>
      <w:r>
        <w:rPr>
          <w:rFonts w:ascii="Times New Roman" w:hAnsi="Times New Roman" w:cs="Times New Roman"/>
        </w:rPr>
        <w:t>ere</w:t>
      </w:r>
      <w:r w:rsidRPr="00947694">
        <w:rPr>
          <w:rFonts w:ascii="Times New Roman" w:hAnsi="Times New Roman" w:cs="Times New Roman"/>
        </w:rPr>
        <w:t xml:space="preserve"> implemented in the special content knowledge course – Mathematics Education Seminar. Notably, this course already utilizes existing OER for current topics.</w:t>
      </w:r>
    </w:p>
    <w:p w14:paraId="09E4B654" w14:textId="78F75251" w:rsidR="009930E9" w:rsidRPr="00947694" w:rsidRDefault="009930E9" w:rsidP="009930E9">
      <w:pPr>
        <w:rPr>
          <w:rFonts w:ascii="Times New Roman" w:hAnsi="Times New Roman" w:cs="Times New Roman"/>
        </w:rPr>
      </w:pPr>
      <w:r w:rsidRPr="00947694">
        <w:rPr>
          <w:rFonts w:ascii="Times New Roman" w:hAnsi="Times New Roman" w:cs="Times New Roman"/>
        </w:rPr>
        <w:t xml:space="preserve">Our mathematics content course is portfolio-based, meaning students’ proficiency is evaluated by a portfolio that includes mathematics problems and tasks in three main areas: 1) theoretical concepts, predominantly proofs; 2) analyzing and redesigning math tasks to make them more relevant to candidates’ future students and to make the tasks more rigorous; and 3) exploring multiple solutions and representations of solutions of math tasks. In other words, teacher candidates must exhibit expertise in several domains of content knowledge for teaching. Because of this and because of the course’s existing OER, the proposed financial literacy materials </w:t>
      </w:r>
      <w:proofErr w:type="gramStart"/>
      <w:r w:rsidRPr="00947694">
        <w:rPr>
          <w:rFonts w:ascii="Times New Roman" w:hAnsi="Times New Roman" w:cs="Times New Roman"/>
        </w:rPr>
        <w:t>w</w:t>
      </w:r>
      <w:r>
        <w:rPr>
          <w:rFonts w:ascii="Times New Roman" w:hAnsi="Times New Roman" w:cs="Times New Roman"/>
        </w:rPr>
        <w:t>as</w:t>
      </w:r>
      <w:proofErr w:type="gramEnd"/>
      <w:r w:rsidRPr="00947694">
        <w:rPr>
          <w:rFonts w:ascii="Times New Roman" w:hAnsi="Times New Roman" w:cs="Times New Roman"/>
        </w:rPr>
        <w:t xml:space="preserve"> implemented in this course.</w:t>
      </w:r>
    </w:p>
    <w:p w14:paraId="1FAA501C" w14:textId="46955E6F" w:rsidR="009930E9" w:rsidRDefault="009930E9" w:rsidP="009930E9">
      <w:pPr>
        <w:rPr>
          <w:rFonts w:ascii="Times New Roman" w:hAnsi="Times New Roman" w:cs="Times New Roman"/>
        </w:rPr>
      </w:pPr>
      <w:r w:rsidRPr="00947694">
        <w:rPr>
          <w:rFonts w:ascii="Times New Roman" w:hAnsi="Times New Roman" w:cs="Times New Roman"/>
        </w:rPr>
        <w:t xml:space="preserve">To ensure flexibility in implementing the financial literacy curriculum in any secondary mathematics education program in Georgia, the proposed resources </w:t>
      </w:r>
      <w:r>
        <w:rPr>
          <w:rFonts w:ascii="Times New Roman" w:hAnsi="Times New Roman" w:cs="Times New Roman"/>
        </w:rPr>
        <w:t>are</w:t>
      </w:r>
      <w:r w:rsidRPr="00947694">
        <w:rPr>
          <w:rFonts w:ascii="Times New Roman" w:hAnsi="Times New Roman" w:cs="Times New Roman"/>
        </w:rPr>
        <w:t xml:space="preserve"> module based.</w:t>
      </w:r>
      <w:r>
        <w:rPr>
          <w:rFonts w:ascii="Times New Roman" w:hAnsi="Times New Roman" w:cs="Times New Roman"/>
        </w:rPr>
        <w:t xml:space="preserve"> </w:t>
      </w:r>
      <w:r w:rsidRPr="00083FB1">
        <w:rPr>
          <w:rFonts w:ascii="Times New Roman" w:hAnsi="Times New Roman" w:cs="Times New Roman"/>
        </w:rPr>
        <w:t>Each module include</w:t>
      </w:r>
      <w:r>
        <w:rPr>
          <w:rFonts w:ascii="Times New Roman" w:hAnsi="Times New Roman" w:cs="Times New Roman"/>
        </w:rPr>
        <w:t>s</w:t>
      </w:r>
      <w:r w:rsidRPr="00083FB1">
        <w:rPr>
          <w:rFonts w:ascii="Times New Roman" w:hAnsi="Times New Roman" w:cs="Times New Roman"/>
        </w:rPr>
        <w:t xml:space="preserve"> several components</w:t>
      </w:r>
      <w:r>
        <w:rPr>
          <w:rFonts w:ascii="Times New Roman" w:hAnsi="Times New Roman" w:cs="Times New Roman"/>
        </w:rPr>
        <w:t xml:space="preserve"> as outlined in Table 1. </w:t>
      </w:r>
    </w:p>
    <w:p w14:paraId="63CFF6EB" w14:textId="77777777" w:rsidR="009930E9" w:rsidRPr="00E62FA5" w:rsidRDefault="009930E9" w:rsidP="009930E9">
      <w:pPr>
        <w:rPr>
          <w:rFonts w:ascii="Times New Roman" w:hAnsi="Times New Roman" w:cs="Times New Roman"/>
          <w:b/>
          <w:bCs/>
        </w:rPr>
      </w:pPr>
      <w:r w:rsidRPr="00E62FA5">
        <w:rPr>
          <w:rFonts w:ascii="Times New Roman" w:hAnsi="Times New Roman" w:cs="Times New Roman"/>
          <w:b/>
          <w:bCs/>
        </w:rPr>
        <w:t>Table 1. Module Components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790"/>
        <w:gridCol w:w="6560"/>
      </w:tblGrid>
      <w:tr w:rsidR="009930E9" w:rsidRPr="00083FB1" w14:paraId="390A0B4A" w14:textId="77777777" w:rsidTr="00CF7563">
        <w:tc>
          <w:tcPr>
            <w:tcW w:w="2790" w:type="dxa"/>
            <w:tcBorders>
              <w:bottom w:val="single" w:sz="4" w:space="0" w:color="auto"/>
            </w:tcBorders>
          </w:tcPr>
          <w:p w14:paraId="3C4090C7" w14:textId="77777777" w:rsidR="009930E9" w:rsidRPr="00083FB1" w:rsidRDefault="009930E9" w:rsidP="00CF7563">
            <w:pPr>
              <w:rPr>
                <w:b/>
                <w:bCs/>
              </w:rPr>
            </w:pPr>
            <w:r w:rsidRPr="00083FB1">
              <w:rPr>
                <w:b/>
                <w:bCs/>
              </w:rPr>
              <w:t>Component</w:t>
            </w:r>
          </w:p>
        </w:tc>
        <w:tc>
          <w:tcPr>
            <w:tcW w:w="6560" w:type="dxa"/>
            <w:tcBorders>
              <w:bottom w:val="single" w:sz="4" w:space="0" w:color="auto"/>
            </w:tcBorders>
          </w:tcPr>
          <w:p w14:paraId="13FF025B" w14:textId="77777777" w:rsidR="009930E9" w:rsidRPr="00083FB1" w:rsidRDefault="009930E9" w:rsidP="00CF7563">
            <w:pPr>
              <w:rPr>
                <w:b/>
                <w:bCs/>
              </w:rPr>
            </w:pPr>
            <w:r w:rsidRPr="00083FB1">
              <w:rPr>
                <w:b/>
                <w:bCs/>
              </w:rPr>
              <w:t>Description</w:t>
            </w:r>
          </w:p>
        </w:tc>
      </w:tr>
      <w:tr w:rsidR="009930E9" w:rsidRPr="00083FB1" w14:paraId="7657A814" w14:textId="77777777" w:rsidTr="00CF7563">
        <w:tc>
          <w:tcPr>
            <w:tcW w:w="2790" w:type="dxa"/>
            <w:tcBorders>
              <w:bottom w:val="nil"/>
            </w:tcBorders>
          </w:tcPr>
          <w:p w14:paraId="515FF27E" w14:textId="77777777" w:rsidR="009930E9" w:rsidRPr="00083FB1" w:rsidRDefault="009930E9" w:rsidP="00CF7563">
            <w:r>
              <w:t>Curriculum</w:t>
            </w:r>
          </w:p>
        </w:tc>
        <w:tc>
          <w:tcPr>
            <w:tcW w:w="6560" w:type="dxa"/>
            <w:tcBorders>
              <w:bottom w:val="nil"/>
            </w:tcBorders>
          </w:tcPr>
          <w:p w14:paraId="68E6B917" w14:textId="77777777" w:rsidR="009930E9" w:rsidRPr="00083FB1" w:rsidRDefault="009930E9" w:rsidP="00CF7563">
            <w:r>
              <w:t>A high-level overview of the fundamental concepts for each module</w:t>
            </w:r>
            <w:r>
              <w:br/>
            </w:r>
          </w:p>
        </w:tc>
      </w:tr>
      <w:tr w:rsidR="009930E9" w:rsidRPr="00083FB1" w14:paraId="06C14AB0" w14:textId="77777777" w:rsidTr="00CF7563">
        <w:tc>
          <w:tcPr>
            <w:tcW w:w="2790" w:type="dxa"/>
            <w:tcBorders>
              <w:top w:val="nil"/>
              <w:bottom w:val="nil"/>
            </w:tcBorders>
          </w:tcPr>
          <w:p w14:paraId="1BD809B8" w14:textId="77777777" w:rsidR="009930E9" w:rsidRPr="00083FB1" w:rsidRDefault="009930E9" w:rsidP="00CF7563">
            <w:pPr>
              <w:ind w:left="246" w:hanging="246"/>
            </w:pPr>
            <w:r>
              <w:t>Vocabulary</w:t>
            </w:r>
          </w:p>
        </w:tc>
        <w:tc>
          <w:tcPr>
            <w:tcW w:w="6560" w:type="dxa"/>
            <w:tcBorders>
              <w:top w:val="nil"/>
              <w:bottom w:val="nil"/>
            </w:tcBorders>
          </w:tcPr>
          <w:p w14:paraId="49F99476" w14:textId="77777777" w:rsidR="009930E9" w:rsidRPr="00083FB1" w:rsidRDefault="009930E9" w:rsidP="00CF7563">
            <w:r>
              <w:t>Key terms for each module</w:t>
            </w:r>
            <w:r>
              <w:br/>
            </w:r>
          </w:p>
        </w:tc>
      </w:tr>
      <w:tr w:rsidR="009930E9" w:rsidRPr="00083FB1" w14:paraId="41F40053" w14:textId="77777777" w:rsidTr="00CF7563">
        <w:tc>
          <w:tcPr>
            <w:tcW w:w="2790" w:type="dxa"/>
            <w:tcBorders>
              <w:top w:val="nil"/>
              <w:bottom w:val="nil"/>
            </w:tcBorders>
          </w:tcPr>
          <w:p w14:paraId="4515AEEE" w14:textId="406BCE73" w:rsidR="009930E9" w:rsidRDefault="009930E9" w:rsidP="00CF7563">
            <w:pPr>
              <w:ind w:left="246" w:hanging="246"/>
            </w:pPr>
            <w:r>
              <w:t>Quiz</w:t>
            </w:r>
          </w:p>
        </w:tc>
        <w:tc>
          <w:tcPr>
            <w:tcW w:w="6560" w:type="dxa"/>
            <w:tcBorders>
              <w:top w:val="nil"/>
              <w:bottom w:val="nil"/>
            </w:tcBorders>
          </w:tcPr>
          <w:p w14:paraId="6BE4C204" w14:textId="5B26D767" w:rsidR="009930E9" w:rsidRDefault="009930E9" w:rsidP="00CF7563">
            <w:r>
              <w:t>A short assessment for each content area to assess learners’ understandings.</w:t>
            </w:r>
          </w:p>
        </w:tc>
      </w:tr>
      <w:tr w:rsidR="009930E9" w:rsidRPr="00083FB1" w14:paraId="5803ADA9" w14:textId="77777777" w:rsidTr="00CF7563">
        <w:tc>
          <w:tcPr>
            <w:tcW w:w="2790" w:type="dxa"/>
            <w:tcBorders>
              <w:top w:val="nil"/>
              <w:bottom w:val="single" w:sz="4" w:space="0" w:color="auto"/>
            </w:tcBorders>
          </w:tcPr>
          <w:p w14:paraId="405AF0EB" w14:textId="77777777" w:rsidR="009930E9" w:rsidRPr="00083FB1" w:rsidRDefault="009930E9" w:rsidP="00CF7563">
            <w:pPr>
              <w:ind w:left="246" w:hanging="246"/>
            </w:pPr>
            <w:r w:rsidRPr="00083FB1">
              <w:lastRenderedPageBreak/>
              <w:t>Application Problems</w:t>
            </w:r>
          </w:p>
        </w:tc>
        <w:tc>
          <w:tcPr>
            <w:tcW w:w="6560" w:type="dxa"/>
            <w:tcBorders>
              <w:top w:val="nil"/>
              <w:bottom w:val="single" w:sz="4" w:space="0" w:color="auto"/>
            </w:tcBorders>
          </w:tcPr>
          <w:p w14:paraId="7BD93CF0" w14:textId="77777777" w:rsidR="009930E9" w:rsidRPr="00083FB1" w:rsidRDefault="009930E9" w:rsidP="00CF7563">
            <w:r>
              <w:t>Tasks for 4000-level content course for secondary math preservice teachers</w:t>
            </w:r>
            <w:r>
              <w:br/>
            </w:r>
          </w:p>
        </w:tc>
      </w:tr>
    </w:tbl>
    <w:p w14:paraId="202A0A95" w14:textId="77777777" w:rsidR="009930E9" w:rsidRDefault="009930E9" w:rsidP="009930E9">
      <w:pPr>
        <w:rPr>
          <w:rFonts w:ascii="Times New Roman" w:hAnsi="Times New Roman" w:cs="Times New Roman"/>
        </w:rPr>
      </w:pPr>
    </w:p>
    <w:p w14:paraId="6C25BBA4" w14:textId="7F31EC00" w:rsidR="009930E9" w:rsidRDefault="009930E9" w:rsidP="009930E9">
      <w:pPr>
        <w:rPr>
          <w:rFonts w:ascii="Times New Roman" w:hAnsi="Times New Roman" w:cs="Times New Roman"/>
        </w:rPr>
      </w:pPr>
      <w:r>
        <w:rPr>
          <w:rFonts w:ascii="Times New Roman" w:hAnsi="Times New Roman" w:cs="Times New Roman"/>
        </w:rPr>
        <w:t xml:space="preserve">The plan to create and implement the curriculum aligned closely to our submitted proposal. The project team met in late November to discuss the curriculum requirements, and the two finance experts provided key guidance to our goals. The number of course modules was reduced from six to five to better align with the course structure and to better align the state standards set by content area. Drs. </w:t>
      </w:r>
      <w:proofErr w:type="spellStart"/>
      <w:r>
        <w:rPr>
          <w:rFonts w:ascii="Times New Roman" w:hAnsi="Times New Roman" w:cs="Times New Roman"/>
        </w:rPr>
        <w:t>Bragelman</w:t>
      </w:r>
      <w:proofErr w:type="spellEnd"/>
      <w:r>
        <w:rPr>
          <w:rFonts w:ascii="Times New Roman" w:hAnsi="Times New Roman" w:cs="Times New Roman"/>
        </w:rPr>
        <w:t xml:space="preserve">, Phipps, and Condit began drafting the five modules, prioritize the curriculum first and the tasks second. When each curricular module was completed, it was sent to the financial experts, Dr. Murdock and Mr. Atwood, for an in-depth review. When the tasks were completed, Mr. Atwood completed the tasks and offered revision suggestions to ensure the tasks were relevant to late high school and college undergraduates. All curriculum and tasks were revised by semester start mid-August, and the modules were implements as proposed in Mathematics Education Seminar, MAED 4201. </w:t>
      </w:r>
    </w:p>
    <w:p w14:paraId="7E9C6687" w14:textId="77777777" w:rsidR="009930E9" w:rsidRPr="001D0453" w:rsidRDefault="009930E9" w:rsidP="009930E9">
      <w:pPr>
        <w:rPr>
          <w:rFonts w:ascii="Times New Roman" w:hAnsi="Times New Roman" w:cs="Times New Roman"/>
        </w:rPr>
      </w:pPr>
      <w:r>
        <w:rPr>
          <w:rFonts w:ascii="Times New Roman" w:hAnsi="Times New Roman" w:cs="Times New Roman"/>
        </w:rPr>
        <w:t>In the interest of evaluating</w:t>
      </w:r>
      <w:r w:rsidRPr="001D0453">
        <w:rPr>
          <w:rFonts w:ascii="Times New Roman" w:hAnsi="Times New Roman" w:cs="Times New Roman"/>
        </w:rPr>
        <w:t xml:space="preserve"> the effectiveness of this curriculum and its interaction with other curricular components already in place in </w:t>
      </w:r>
      <w:r>
        <w:rPr>
          <w:rFonts w:ascii="Times New Roman" w:hAnsi="Times New Roman" w:cs="Times New Roman"/>
        </w:rPr>
        <w:t>the</w:t>
      </w:r>
      <w:r w:rsidRPr="001D0453">
        <w:rPr>
          <w:rFonts w:ascii="Times New Roman" w:hAnsi="Times New Roman" w:cs="Times New Roman"/>
        </w:rPr>
        <w:t xml:space="preserve"> content </w:t>
      </w:r>
      <w:proofErr w:type="spellStart"/>
      <w:r w:rsidRPr="001D0453">
        <w:rPr>
          <w:rFonts w:ascii="Times New Roman" w:hAnsi="Times New Roman" w:cs="Times New Roman"/>
        </w:rPr>
        <w:t>cours</w:t>
      </w:r>
      <w:proofErr w:type="spellEnd"/>
      <w:r>
        <w:rPr>
          <w:rFonts w:ascii="Times New Roman" w:hAnsi="Times New Roman" w:cs="Times New Roman"/>
        </w:rPr>
        <w:t>,</w:t>
      </w:r>
      <w:r w:rsidRPr="001D0453">
        <w:rPr>
          <w:rFonts w:ascii="Times New Roman" w:hAnsi="Times New Roman" w:cs="Times New Roman"/>
        </w:rPr>
        <w:t xml:space="preserve"> we implemen</w:t>
      </w:r>
      <w:r>
        <w:rPr>
          <w:rFonts w:ascii="Times New Roman" w:hAnsi="Times New Roman" w:cs="Times New Roman"/>
        </w:rPr>
        <w:t>ted</w:t>
      </w:r>
      <w:r w:rsidRPr="001D0453">
        <w:rPr>
          <w:rFonts w:ascii="Times New Roman" w:hAnsi="Times New Roman" w:cs="Times New Roman"/>
        </w:rPr>
        <w:t xml:space="preserve"> surveys to measure preservice teachers’:</w:t>
      </w:r>
    </w:p>
    <w:p w14:paraId="5116553C" w14:textId="77777777" w:rsidR="009930E9" w:rsidRPr="001D0453" w:rsidRDefault="009930E9" w:rsidP="009930E9">
      <w:pPr>
        <w:numPr>
          <w:ilvl w:val="0"/>
          <w:numId w:val="19"/>
        </w:numPr>
        <w:spacing w:after="0" w:line="240" w:lineRule="auto"/>
        <w:rPr>
          <w:rFonts w:ascii="Times New Roman" w:hAnsi="Times New Roman" w:cs="Times New Roman"/>
        </w:rPr>
      </w:pPr>
      <w:r w:rsidRPr="001D0453">
        <w:rPr>
          <w:rFonts w:ascii="Times New Roman" w:hAnsi="Times New Roman" w:cs="Times New Roman"/>
        </w:rPr>
        <w:t>mathematics teaching self-efficacy and mathematics teaching outcome expectancy beliefs (Enochs et al., 2000</w:t>
      </w:r>
      <w:proofErr w:type="gramStart"/>
      <w:r w:rsidRPr="001D0453">
        <w:rPr>
          <w:rFonts w:ascii="Times New Roman" w:hAnsi="Times New Roman" w:cs="Times New Roman"/>
        </w:rPr>
        <w:t>);</w:t>
      </w:r>
      <w:proofErr w:type="gramEnd"/>
    </w:p>
    <w:p w14:paraId="60D0B2F1" w14:textId="77777777" w:rsidR="009930E9" w:rsidRPr="001D0453" w:rsidRDefault="009930E9" w:rsidP="009930E9">
      <w:pPr>
        <w:numPr>
          <w:ilvl w:val="0"/>
          <w:numId w:val="19"/>
        </w:numPr>
        <w:spacing w:after="0" w:line="240" w:lineRule="auto"/>
        <w:rPr>
          <w:rFonts w:ascii="Times New Roman" w:hAnsi="Times New Roman" w:cs="Times New Roman"/>
        </w:rPr>
      </w:pPr>
      <w:r w:rsidRPr="001D0453">
        <w:rPr>
          <w:rFonts w:ascii="Times New Roman" w:hAnsi="Times New Roman" w:cs="Times New Roman"/>
        </w:rPr>
        <w:t>culturally responsive teaching self-efficacy and outcome expectancy beliefs (</w:t>
      </w:r>
      <w:proofErr w:type="spellStart"/>
      <w:r w:rsidRPr="001D0453">
        <w:rPr>
          <w:rFonts w:ascii="Times New Roman" w:hAnsi="Times New Roman" w:cs="Times New Roman"/>
        </w:rPr>
        <w:t>Siwatu</w:t>
      </w:r>
      <w:proofErr w:type="spellEnd"/>
      <w:r w:rsidRPr="001D0453">
        <w:rPr>
          <w:rFonts w:ascii="Times New Roman" w:hAnsi="Times New Roman" w:cs="Times New Roman"/>
        </w:rPr>
        <w:t>, 2007); and</w:t>
      </w:r>
    </w:p>
    <w:p w14:paraId="25BB6C2A" w14:textId="7442446F" w:rsidR="009930E9" w:rsidRPr="009930E9" w:rsidRDefault="009930E9" w:rsidP="009930E9">
      <w:pPr>
        <w:numPr>
          <w:ilvl w:val="0"/>
          <w:numId w:val="19"/>
        </w:numPr>
        <w:spacing w:after="0" w:line="240" w:lineRule="auto"/>
        <w:rPr>
          <w:rFonts w:ascii="Times New Roman" w:hAnsi="Times New Roman" w:cs="Times New Roman"/>
        </w:rPr>
      </w:pPr>
      <w:r w:rsidRPr="001D0453">
        <w:rPr>
          <w:rFonts w:ascii="Times New Roman" w:hAnsi="Times New Roman" w:cs="Times New Roman"/>
        </w:rPr>
        <w:t>financial knowledge (Avard et al., 2005).</w:t>
      </w:r>
      <w:r>
        <w:rPr>
          <w:rFonts w:ascii="Times New Roman" w:hAnsi="Times New Roman" w:cs="Times New Roman"/>
        </w:rPr>
        <w:br/>
      </w:r>
    </w:p>
    <w:p w14:paraId="5B24B0BA" w14:textId="2D484020" w:rsidR="009930E9" w:rsidRPr="00346752" w:rsidRDefault="009930E9" w:rsidP="009930E9">
      <w:pPr>
        <w:rPr>
          <w:rFonts w:ascii="Times New Roman" w:hAnsi="Times New Roman" w:cs="Times New Roman"/>
        </w:rPr>
      </w:pPr>
      <w:r>
        <w:rPr>
          <w:rFonts w:ascii="Times New Roman" w:hAnsi="Times New Roman" w:cs="Times New Roman"/>
        </w:rPr>
        <w:t>IRB approval was received in early August (UNG IRB 2024-048-C&amp;U).</w:t>
      </w:r>
    </w:p>
    <w:p w14:paraId="299CBB05" w14:textId="77777777" w:rsidR="009930E9" w:rsidRDefault="009930E9" w:rsidP="009930E9">
      <w:pPr>
        <w:rPr>
          <w:rFonts w:ascii="Times New Roman" w:hAnsi="Times New Roman" w:cs="Times New Roman"/>
          <w:b/>
          <w:bCs/>
        </w:rPr>
      </w:pPr>
      <w:r w:rsidRPr="00083FB1">
        <w:rPr>
          <w:rFonts w:ascii="Times New Roman" w:hAnsi="Times New Roman" w:cs="Times New Roman"/>
          <w:b/>
          <w:bCs/>
        </w:rPr>
        <w:t>Timeline</w:t>
      </w:r>
    </w:p>
    <w:p w14:paraId="57E2499F" w14:textId="47D0D162" w:rsidR="009930E9" w:rsidRDefault="009930E9" w:rsidP="009930E9">
      <w:pPr>
        <w:rPr>
          <w:rFonts w:ascii="Times New Roman" w:hAnsi="Times New Roman" w:cs="Times New Roman"/>
        </w:rPr>
      </w:pPr>
      <w:r>
        <w:rPr>
          <w:rFonts w:ascii="Times New Roman" w:hAnsi="Times New Roman" w:cs="Times New Roman"/>
        </w:rPr>
        <w:t>The timeline begins in May of 2024. Curriculum development, review, and testing was conducted in the summer months, from May to August. Implementation in MAED 4201, UNG’s mathematics content course for secondary preservice teachers, occurred in the Fall semester of 2024. The curriculum will be submitted to ALG in late December of 2024.</w:t>
      </w:r>
    </w:p>
    <w:p w14:paraId="315E47DF" w14:textId="0753B79D" w:rsidR="009930E9" w:rsidRPr="00083FB1" w:rsidRDefault="009930E9" w:rsidP="009930E9">
      <w:pPr>
        <w:rPr>
          <w:rFonts w:ascii="Times New Roman" w:hAnsi="Times New Roman" w:cs="Times New Roman"/>
          <w:b/>
          <w:bCs/>
        </w:rPr>
      </w:pPr>
      <w:r>
        <w:rPr>
          <w:rFonts w:ascii="Times New Roman" w:hAnsi="Times New Roman" w:cs="Times New Roman"/>
          <w:b/>
          <w:bCs/>
        </w:rPr>
        <w:t>Table 2. Timeline</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243"/>
        <w:gridCol w:w="7487"/>
      </w:tblGrid>
      <w:tr w:rsidR="009930E9" w:rsidRPr="00083FB1" w14:paraId="298768DF" w14:textId="77777777" w:rsidTr="00CF7563">
        <w:tc>
          <w:tcPr>
            <w:tcW w:w="1243" w:type="dxa"/>
            <w:tcBorders>
              <w:top w:val="single" w:sz="4" w:space="0" w:color="auto"/>
              <w:bottom w:val="single" w:sz="4" w:space="0" w:color="auto"/>
            </w:tcBorders>
          </w:tcPr>
          <w:p w14:paraId="08F816D3" w14:textId="77777777" w:rsidR="009930E9" w:rsidRPr="00083FB1" w:rsidRDefault="009930E9" w:rsidP="00CF7563">
            <w:pPr>
              <w:rPr>
                <w:b/>
                <w:bCs/>
              </w:rPr>
            </w:pPr>
            <w:r w:rsidRPr="00083FB1">
              <w:rPr>
                <w:b/>
                <w:bCs/>
              </w:rPr>
              <w:t>Month</w:t>
            </w:r>
          </w:p>
        </w:tc>
        <w:tc>
          <w:tcPr>
            <w:tcW w:w="7487" w:type="dxa"/>
            <w:tcBorders>
              <w:top w:val="single" w:sz="4" w:space="0" w:color="auto"/>
              <w:bottom w:val="single" w:sz="4" w:space="0" w:color="auto"/>
            </w:tcBorders>
          </w:tcPr>
          <w:p w14:paraId="309043D7" w14:textId="77777777" w:rsidR="009930E9" w:rsidRPr="00083FB1" w:rsidRDefault="009930E9" w:rsidP="00CF7563">
            <w:pPr>
              <w:rPr>
                <w:b/>
                <w:bCs/>
              </w:rPr>
            </w:pPr>
            <w:r w:rsidRPr="00083FB1">
              <w:rPr>
                <w:b/>
                <w:bCs/>
              </w:rPr>
              <w:t>Action Item</w:t>
            </w:r>
          </w:p>
        </w:tc>
      </w:tr>
      <w:tr w:rsidR="009930E9" w:rsidRPr="00083FB1" w14:paraId="2568A006" w14:textId="77777777" w:rsidTr="00CF7563">
        <w:tc>
          <w:tcPr>
            <w:tcW w:w="1243" w:type="dxa"/>
            <w:tcBorders>
              <w:bottom w:val="nil"/>
            </w:tcBorders>
          </w:tcPr>
          <w:p w14:paraId="4ACEFDB7" w14:textId="77777777" w:rsidR="009930E9" w:rsidRPr="00083FB1" w:rsidRDefault="009930E9" w:rsidP="00CF7563">
            <w:pPr>
              <w:ind w:left="246" w:hanging="246"/>
            </w:pPr>
            <w:r w:rsidRPr="00083FB1">
              <w:t>May</w:t>
            </w:r>
          </w:p>
        </w:tc>
        <w:tc>
          <w:tcPr>
            <w:tcW w:w="7487" w:type="dxa"/>
            <w:tcBorders>
              <w:bottom w:val="nil"/>
            </w:tcBorders>
          </w:tcPr>
          <w:p w14:paraId="01E832FF" w14:textId="77777777" w:rsidR="009930E9" w:rsidRDefault="009930E9" w:rsidP="00CF7563">
            <w:r>
              <w:t>Kickoff Meeting</w:t>
            </w:r>
          </w:p>
          <w:p w14:paraId="43F90820" w14:textId="77777777" w:rsidR="009930E9" w:rsidRDefault="009930E9" w:rsidP="00CF7563">
            <w:r>
              <w:t xml:space="preserve">Module Development </w:t>
            </w:r>
          </w:p>
          <w:p w14:paraId="43B982E7" w14:textId="77777777" w:rsidR="009930E9" w:rsidRDefault="009930E9" w:rsidP="00CF7563">
            <w:r>
              <w:t>Individual Meeting with Q.A. (1 hour)</w:t>
            </w:r>
          </w:p>
          <w:p w14:paraId="3EDFA924" w14:textId="77777777" w:rsidR="009930E9" w:rsidRPr="00083FB1" w:rsidRDefault="009930E9" w:rsidP="00CF7563"/>
        </w:tc>
      </w:tr>
      <w:tr w:rsidR="009930E9" w:rsidRPr="00083FB1" w14:paraId="4519F22A" w14:textId="77777777" w:rsidTr="00CF7563">
        <w:tc>
          <w:tcPr>
            <w:tcW w:w="1243" w:type="dxa"/>
            <w:tcBorders>
              <w:top w:val="nil"/>
              <w:bottom w:val="nil"/>
            </w:tcBorders>
          </w:tcPr>
          <w:p w14:paraId="39CFC6C5" w14:textId="77777777" w:rsidR="009930E9" w:rsidRPr="00083FB1" w:rsidRDefault="009930E9" w:rsidP="00CF7563">
            <w:r>
              <w:t>June</w:t>
            </w:r>
          </w:p>
        </w:tc>
        <w:tc>
          <w:tcPr>
            <w:tcW w:w="7487" w:type="dxa"/>
            <w:tcBorders>
              <w:top w:val="nil"/>
              <w:bottom w:val="nil"/>
            </w:tcBorders>
          </w:tcPr>
          <w:p w14:paraId="73093D11" w14:textId="77777777" w:rsidR="009930E9" w:rsidRDefault="009930E9" w:rsidP="00CF7563">
            <w:r>
              <w:t>Module Development (continued)</w:t>
            </w:r>
          </w:p>
          <w:p w14:paraId="4478BCA5" w14:textId="77777777" w:rsidR="009930E9" w:rsidRDefault="009930E9" w:rsidP="00CF7563">
            <w:r>
              <w:t xml:space="preserve">Biweekly Check-in </w:t>
            </w:r>
          </w:p>
          <w:p w14:paraId="66E9EF5D" w14:textId="77777777" w:rsidR="009930E9" w:rsidRDefault="009930E9" w:rsidP="00CF7563">
            <w:r>
              <w:t>Individual Meetings with Q.A.</w:t>
            </w:r>
          </w:p>
          <w:p w14:paraId="3790B26E" w14:textId="77777777" w:rsidR="009930E9" w:rsidRPr="00083FB1" w:rsidRDefault="009930E9" w:rsidP="00CF7563">
            <w:r>
              <w:t>Module Review by Q.A.</w:t>
            </w:r>
          </w:p>
        </w:tc>
      </w:tr>
      <w:tr w:rsidR="009930E9" w:rsidRPr="00083FB1" w14:paraId="193D5DB4" w14:textId="77777777" w:rsidTr="00CF7563">
        <w:tc>
          <w:tcPr>
            <w:tcW w:w="1243" w:type="dxa"/>
            <w:tcBorders>
              <w:top w:val="nil"/>
              <w:bottom w:val="nil"/>
            </w:tcBorders>
          </w:tcPr>
          <w:p w14:paraId="0F6C04AF" w14:textId="77777777" w:rsidR="009930E9" w:rsidRDefault="009930E9" w:rsidP="00CF7563"/>
        </w:tc>
        <w:tc>
          <w:tcPr>
            <w:tcW w:w="7487" w:type="dxa"/>
            <w:tcBorders>
              <w:top w:val="nil"/>
              <w:bottom w:val="nil"/>
            </w:tcBorders>
          </w:tcPr>
          <w:p w14:paraId="3DFC75BB" w14:textId="77777777" w:rsidR="009930E9" w:rsidRDefault="009930E9" w:rsidP="00CF7563"/>
        </w:tc>
      </w:tr>
      <w:tr w:rsidR="009930E9" w:rsidRPr="00083FB1" w14:paraId="705385CC" w14:textId="77777777" w:rsidTr="00CF7563">
        <w:tc>
          <w:tcPr>
            <w:tcW w:w="1243" w:type="dxa"/>
            <w:tcBorders>
              <w:top w:val="nil"/>
              <w:bottom w:val="nil"/>
            </w:tcBorders>
          </w:tcPr>
          <w:p w14:paraId="624082E7" w14:textId="77777777" w:rsidR="009930E9" w:rsidRPr="00083FB1" w:rsidRDefault="009930E9" w:rsidP="00CF7563">
            <w:r w:rsidRPr="00083FB1">
              <w:t>July</w:t>
            </w:r>
          </w:p>
        </w:tc>
        <w:tc>
          <w:tcPr>
            <w:tcW w:w="7487" w:type="dxa"/>
            <w:tcBorders>
              <w:top w:val="nil"/>
              <w:bottom w:val="nil"/>
            </w:tcBorders>
          </w:tcPr>
          <w:p w14:paraId="5FEAC0D1" w14:textId="77777777" w:rsidR="009930E9" w:rsidRDefault="009930E9" w:rsidP="00CF7563">
            <w:r>
              <w:t>Curricular Revisions</w:t>
            </w:r>
          </w:p>
          <w:p w14:paraId="4BF3F727" w14:textId="77777777" w:rsidR="009930E9" w:rsidRDefault="009930E9" w:rsidP="00CF7563">
            <w:r>
              <w:t>Q.A. – Final Review</w:t>
            </w:r>
          </w:p>
          <w:p w14:paraId="695D7C37" w14:textId="77777777" w:rsidR="009930E9" w:rsidRDefault="009930E9" w:rsidP="00CF7563">
            <w:r>
              <w:t>Math Task Review</w:t>
            </w:r>
          </w:p>
          <w:p w14:paraId="42733D25" w14:textId="77777777" w:rsidR="009930E9" w:rsidRDefault="009930E9" w:rsidP="00CF7563">
            <w:r>
              <w:t>IRB Submission</w:t>
            </w:r>
          </w:p>
          <w:p w14:paraId="59FD953F" w14:textId="77777777" w:rsidR="009930E9" w:rsidRPr="00083FB1" w:rsidRDefault="009930E9" w:rsidP="00CF7563"/>
        </w:tc>
      </w:tr>
      <w:tr w:rsidR="009930E9" w:rsidRPr="00083FB1" w14:paraId="32086C8A" w14:textId="77777777" w:rsidTr="00CF7563">
        <w:tc>
          <w:tcPr>
            <w:tcW w:w="1243" w:type="dxa"/>
            <w:tcBorders>
              <w:top w:val="nil"/>
              <w:bottom w:val="nil"/>
            </w:tcBorders>
          </w:tcPr>
          <w:p w14:paraId="4F40E33C" w14:textId="77777777" w:rsidR="009930E9" w:rsidRPr="00083FB1" w:rsidRDefault="009930E9" w:rsidP="00CF7563">
            <w:pPr>
              <w:ind w:left="246" w:hanging="246"/>
            </w:pPr>
            <w:r w:rsidRPr="00083FB1">
              <w:t>August</w:t>
            </w:r>
          </w:p>
        </w:tc>
        <w:tc>
          <w:tcPr>
            <w:tcW w:w="7487" w:type="dxa"/>
            <w:tcBorders>
              <w:top w:val="nil"/>
              <w:bottom w:val="nil"/>
            </w:tcBorders>
          </w:tcPr>
          <w:p w14:paraId="075A6604" w14:textId="77777777" w:rsidR="009930E9" w:rsidRPr="00083FB1" w:rsidRDefault="009930E9" w:rsidP="00CF7563">
            <w:r>
              <w:t>Module Development – Final Revisions</w:t>
            </w:r>
            <w:r>
              <w:br/>
            </w:r>
          </w:p>
        </w:tc>
      </w:tr>
      <w:tr w:rsidR="009930E9" w:rsidRPr="00083FB1" w14:paraId="102200B9" w14:textId="77777777" w:rsidTr="00CF7563">
        <w:tc>
          <w:tcPr>
            <w:tcW w:w="1243" w:type="dxa"/>
            <w:tcBorders>
              <w:top w:val="nil"/>
              <w:bottom w:val="nil"/>
            </w:tcBorders>
          </w:tcPr>
          <w:p w14:paraId="0838AFBF" w14:textId="77777777" w:rsidR="009930E9" w:rsidRDefault="009930E9" w:rsidP="00CF7563">
            <w:pPr>
              <w:ind w:left="246" w:hanging="246"/>
            </w:pPr>
            <w:r>
              <w:lastRenderedPageBreak/>
              <w:t xml:space="preserve">August – </w:t>
            </w:r>
          </w:p>
          <w:p w14:paraId="01BADC0D" w14:textId="77777777" w:rsidR="009930E9" w:rsidRPr="00083FB1" w:rsidRDefault="009930E9" w:rsidP="00CF7563">
            <w:pPr>
              <w:ind w:left="246" w:hanging="246"/>
            </w:pPr>
            <w:r>
              <w:t>December</w:t>
            </w:r>
          </w:p>
        </w:tc>
        <w:tc>
          <w:tcPr>
            <w:tcW w:w="7487" w:type="dxa"/>
            <w:tcBorders>
              <w:top w:val="nil"/>
              <w:bottom w:val="nil"/>
            </w:tcBorders>
          </w:tcPr>
          <w:p w14:paraId="789891E5" w14:textId="77777777" w:rsidR="009930E9" w:rsidRPr="00083FB1" w:rsidRDefault="009930E9" w:rsidP="00CF7563">
            <w:r>
              <w:t>Curriculum Implementation in MAED 4201</w:t>
            </w:r>
            <w:r>
              <w:br/>
            </w:r>
          </w:p>
        </w:tc>
      </w:tr>
      <w:tr w:rsidR="009930E9" w:rsidRPr="00083FB1" w14:paraId="31CA382F" w14:textId="77777777" w:rsidTr="00CF7563">
        <w:tc>
          <w:tcPr>
            <w:tcW w:w="1243" w:type="dxa"/>
            <w:tcBorders>
              <w:top w:val="nil"/>
              <w:bottom w:val="nil"/>
            </w:tcBorders>
          </w:tcPr>
          <w:p w14:paraId="03826D70" w14:textId="77777777" w:rsidR="009930E9" w:rsidRPr="00083FB1" w:rsidRDefault="009930E9" w:rsidP="00CF7563">
            <w:pPr>
              <w:ind w:left="246" w:hanging="246"/>
            </w:pPr>
            <w:r>
              <w:t>December</w:t>
            </w:r>
          </w:p>
        </w:tc>
        <w:tc>
          <w:tcPr>
            <w:tcW w:w="7487" w:type="dxa"/>
            <w:tcBorders>
              <w:top w:val="nil"/>
              <w:bottom w:val="nil"/>
            </w:tcBorders>
          </w:tcPr>
          <w:p w14:paraId="3DAD05F4" w14:textId="77777777" w:rsidR="009930E9" w:rsidRPr="00083FB1" w:rsidRDefault="009930E9" w:rsidP="00CF7563">
            <w:r>
              <w:t>Wrap-Up Meeting – Lessons Learned</w:t>
            </w:r>
          </w:p>
        </w:tc>
      </w:tr>
      <w:tr w:rsidR="009930E9" w:rsidRPr="00083FB1" w14:paraId="06DBB416" w14:textId="77777777" w:rsidTr="00CF7563">
        <w:tc>
          <w:tcPr>
            <w:tcW w:w="1243" w:type="dxa"/>
            <w:tcBorders>
              <w:top w:val="nil"/>
            </w:tcBorders>
          </w:tcPr>
          <w:p w14:paraId="35DA350C" w14:textId="77777777" w:rsidR="009930E9" w:rsidRDefault="009930E9" w:rsidP="00CF7563"/>
        </w:tc>
        <w:tc>
          <w:tcPr>
            <w:tcW w:w="7487" w:type="dxa"/>
            <w:tcBorders>
              <w:top w:val="nil"/>
            </w:tcBorders>
          </w:tcPr>
          <w:p w14:paraId="0F31DC43" w14:textId="77777777" w:rsidR="009930E9" w:rsidRDefault="009930E9" w:rsidP="00CF7563">
            <w:r>
              <w:t xml:space="preserve">Submit curricular materials to </w:t>
            </w:r>
            <w:proofErr w:type="spellStart"/>
            <w:r>
              <w:t>OpenALG</w:t>
            </w:r>
            <w:proofErr w:type="spellEnd"/>
            <w:r>
              <w:t xml:space="preserve"> for publication</w:t>
            </w:r>
          </w:p>
        </w:tc>
      </w:tr>
    </w:tbl>
    <w:p w14:paraId="359856E2" w14:textId="77777777" w:rsidR="009930E9" w:rsidRDefault="009930E9" w:rsidP="009930E9">
      <w:pPr>
        <w:rPr>
          <w:rFonts w:ascii="Times New Roman" w:hAnsi="Times New Roman" w:cs="Times New Roman"/>
        </w:rPr>
      </w:pPr>
    </w:p>
    <w:p w14:paraId="3049D9FE" w14:textId="77777777" w:rsidR="009930E9" w:rsidRDefault="009930E9" w:rsidP="009930E9">
      <w:pPr>
        <w:rPr>
          <w:rFonts w:ascii="Times New Roman" w:hAnsi="Times New Roman" w:cs="Times New Roman"/>
          <w:b/>
          <w:bCs/>
        </w:rPr>
      </w:pPr>
      <w:r>
        <w:rPr>
          <w:rFonts w:ascii="Times New Roman" w:hAnsi="Times New Roman" w:cs="Times New Roman"/>
          <w:b/>
          <w:bCs/>
        </w:rPr>
        <w:t>Data &amp; Feedback</w:t>
      </w:r>
    </w:p>
    <w:p w14:paraId="61B04AE1" w14:textId="31B7B896" w:rsidR="009930E9" w:rsidRDefault="009930E9" w:rsidP="009930E9">
      <w:pPr>
        <w:rPr>
          <w:rFonts w:ascii="Times New Roman" w:hAnsi="Times New Roman" w:cs="Times New Roman"/>
        </w:rPr>
      </w:pPr>
      <w:r>
        <w:rPr>
          <w:rFonts w:ascii="Times New Roman" w:hAnsi="Times New Roman" w:cs="Times New Roman"/>
        </w:rPr>
        <w:t xml:space="preserve">The project team collected feedback from the cohort of students in MAED 4201 in Fall 2024. We have not yet analyzed the quantitative survey data we have collected; however, we can share qualitative data. One of the survey questions was: </w:t>
      </w:r>
      <w:r w:rsidRPr="00286EC8">
        <w:rPr>
          <w:rFonts w:ascii="Times New Roman" w:hAnsi="Times New Roman" w:cs="Times New Roman"/>
          <w:i/>
          <w:iCs/>
        </w:rPr>
        <w:t xml:space="preserve">Overall, did you find the financial literacy curriculum useful? We are asking from two perspectives - from you as an individual and from you as a teacher who might teach a course on financial </w:t>
      </w:r>
      <w:proofErr w:type="gramStart"/>
      <w:r w:rsidRPr="00286EC8">
        <w:rPr>
          <w:rFonts w:ascii="Times New Roman" w:hAnsi="Times New Roman" w:cs="Times New Roman"/>
          <w:i/>
          <w:iCs/>
        </w:rPr>
        <w:t>literacy?</w:t>
      </w:r>
      <w:proofErr w:type="gramEnd"/>
    </w:p>
    <w:p w14:paraId="433575AD" w14:textId="77777777" w:rsidR="009930E9" w:rsidRDefault="009930E9" w:rsidP="009930E9">
      <w:pPr>
        <w:rPr>
          <w:rFonts w:ascii="Times New Roman" w:hAnsi="Times New Roman" w:cs="Times New Roman"/>
        </w:rPr>
      </w:pPr>
      <w:r>
        <w:rPr>
          <w:rFonts w:ascii="Times New Roman" w:hAnsi="Times New Roman" w:cs="Times New Roman"/>
        </w:rPr>
        <w:t>And excerpts from the responses from our preservice teachers:</w:t>
      </w:r>
    </w:p>
    <w:p w14:paraId="74F042D0" w14:textId="77777777" w:rsidR="009930E9" w:rsidRDefault="009930E9" w:rsidP="009930E9">
      <w:pPr>
        <w:pStyle w:val="ListParagraph"/>
        <w:numPr>
          <w:ilvl w:val="0"/>
          <w:numId w:val="20"/>
        </w:numPr>
        <w:spacing w:after="0" w:line="240" w:lineRule="auto"/>
        <w:rPr>
          <w:rFonts w:ascii="Times New Roman" w:hAnsi="Times New Roman" w:cs="Times New Roman"/>
        </w:rPr>
      </w:pPr>
      <w:r w:rsidRPr="00286EC8">
        <w:rPr>
          <w:rFonts w:ascii="Times New Roman" w:hAnsi="Times New Roman" w:cs="Times New Roman"/>
        </w:rPr>
        <w:t>Overall, they were incredibly helpful to me as a student. The modules either added to my financial literacy or had me refresh and stay up to date with better options for my situation. Looking at different insurances or credit cards is not something I have done since selecting them and it was good for me to go back and assure that the selections I have made are still right for my circumstances.</w:t>
      </w:r>
      <w:r>
        <w:rPr>
          <w:rFonts w:ascii="Times New Roman" w:hAnsi="Times New Roman" w:cs="Times New Roman"/>
        </w:rPr>
        <w:br/>
      </w:r>
    </w:p>
    <w:p w14:paraId="40402504" w14:textId="77777777" w:rsidR="009930E9" w:rsidRDefault="009930E9" w:rsidP="009930E9">
      <w:pPr>
        <w:pStyle w:val="ListParagraph"/>
        <w:numPr>
          <w:ilvl w:val="0"/>
          <w:numId w:val="20"/>
        </w:numPr>
        <w:spacing w:after="0" w:line="240" w:lineRule="auto"/>
        <w:rPr>
          <w:rFonts w:ascii="Times New Roman" w:hAnsi="Times New Roman" w:cs="Times New Roman"/>
        </w:rPr>
      </w:pPr>
      <w:r w:rsidRPr="00286EC8">
        <w:rPr>
          <w:rFonts w:ascii="Times New Roman" w:hAnsi="Times New Roman" w:cs="Times New Roman"/>
        </w:rPr>
        <w:t xml:space="preserve">First, from a teacher perspective, a lot of what we discussed i.e. buying a home, taxes, investing, and renting is covered in the financial literacy class that I was student teaching in this semester. I think this class was </w:t>
      </w:r>
      <w:proofErr w:type="gramStart"/>
      <w:r w:rsidRPr="00286EC8">
        <w:rPr>
          <w:rFonts w:ascii="Times New Roman" w:hAnsi="Times New Roman" w:cs="Times New Roman"/>
        </w:rPr>
        <w:t>definitely beneficial</w:t>
      </w:r>
      <w:proofErr w:type="gramEnd"/>
      <w:r w:rsidRPr="00286EC8">
        <w:rPr>
          <w:rFonts w:ascii="Times New Roman" w:hAnsi="Times New Roman" w:cs="Times New Roman"/>
        </w:rPr>
        <w:t xml:space="preserve"> in helping me know what was going on. Also, I think it would be cool to add something on cars because they go into car insurance, stopping speeds, and safe driving in financial literacy class as well. I can say that I was not up to date on my financial literacy knowledge, but after this class, I do feel more prepared. I think also going more into retirement and investing could be beneficial as well.</w:t>
      </w:r>
      <w:r>
        <w:rPr>
          <w:rFonts w:ascii="Times New Roman" w:hAnsi="Times New Roman" w:cs="Times New Roman"/>
        </w:rPr>
        <w:br/>
      </w:r>
      <w:r>
        <w:rPr>
          <w:rFonts w:ascii="Times New Roman" w:hAnsi="Times New Roman" w:cs="Times New Roman"/>
        </w:rPr>
        <w:br/>
      </w:r>
      <w:r w:rsidRPr="00286EC8">
        <w:rPr>
          <w:rFonts w:ascii="Times New Roman" w:hAnsi="Times New Roman" w:cs="Times New Roman"/>
        </w:rPr>
        <w:t>From an individual perspective, also YES! I have learned more than I can put into this final about just life and the expenses that might come. I knew I was not necessarily prepared, but this class has helped me see what I need to do to become more prepared. Also, as stated in the above boxes, many of these decisions are coming quickly, so being able to budget with realistic numbers and looking at health insurance and retirement for us teachers is very beneficial. Overall, I would say that I have learned a lot, more than I think I have, and will use what I have learned to make future decisions.</w:t>
      </w:r>
      <w:r>
        <w:rPr>
          <w:rFonts w:ascii="Times New Roman" w:hAnsi="Times New Roman" w:cs="Times New Roman"/>
        </w:rPr>
        <w:br/>
      </w:r>
    </w:p>
    <w:p w14:paraId="5692A4BA" w14:textId="1139313B" w:rsidR="009930E9" w:rsidRPr="009930E9" w:rsidRDefault="009930E9" w:rsidP="009930E9">
      <w:pPr>
        <w:pStyle w:val="ListParagraph"/>
        <w:numPr>
          <w:ilvl w:val="0"/>
          <w:numId w:val="20"/>
        </w:numPr>
        <w:spacing w:after="0" w:line="240" w:lineRule="auto"/>
        <w:rPr>
          <w:rFonts w:ascii="Times New Roman" w:hAnsi="Times New Roman" w:cs="Times New Roman"/>
        </w:rPr>
      </w:pPr>
      <w:r w:rsidRPr="00286EC8">
        <w:rPr>
          <w:rFonts w:ascii="Times New Roman" w:hAnsi="Times New Roman" w:cs="Times New Roman"/>
        </w:rPr>
        <w:t xml:space="preserve">Yes! As a student, I really learned a lot about finances. Better yet, the practical aspects of the curriculum (performing calculations, creating spreadsheets, etc.) helped solidify my understanding; I feel confident in my ability to make mathematically informed financial decisions. As a teacher, I </w:t>
      </w:r>
      <w:proofErr w:type="gramStart"/>
      <w:r w:rsidRPr="00286EC8">
        <w:rPr>
          <w:rFonts w:ascii="Times New Roman" w:hAnsi="Times New Roman" w:cs="Times New Roman"/>
        </w:rPr>
        <w:t>definitely see</w:t>
      </w:r>
      <w:proofErr w:type="gramEnd"/>
      <w:r w:rsidRPr="00286EC8">
        <w:rPr>
          <w:rFonts w:ascii="Times New Roman" w:hAnsi="Times New Roman" w:cs="Times New Roman"/>
        </w:rPr>
        <w:t xml:space="preserve"> this curriculum as useful. If I ever teach a course on financial literacy, I will be pulling tasks from these modules (with adjustments, as needed). Often, I feel that finances are discussed in a very hypothetical sense; teaching kids finances with practical tasks like those presented in these modules would likely keep students interested and invested in learning the material.</w:t>
      </w:r>
      <w:r>
        <w:rPr>
          <w:rFonts w:ascii="Times New Roman" w:hAnsi="Times New Roman" w:cs="Times New Roman"/>
        </w:rPr>
        <w:br/>
      </w:r>
    </w:p>
    <w:p w14:paraId="52C6604A" w14:textId="77777777" w:rsidR="009930E9" w:rsidRDefault="009930E9" w:rsidP="009930E9">
      <w:pPr>
        <w:rPr>
          <w:rFonts w:ascii="Times New Roman" w:hAnsi="Times New Roman" w:cs="Times New Roman"/>
        </w:rPr>
      </w:pPr>
      <w:r>
        <w:rPr>
          <w:rFonts w:ascii="Times New Roman" w:hAnsi="Times New Roman" w:cs="Times New Roman"/>
        </w:rPr>
        <w:t xml:space="preserve">In short, the preservice teachers found the modules beneficial. Their critical feedback was also valuable, and we will be revising the curriculum based on their recommendations before we upload it to </w:t>
      </w:r>
      <w:proofErr w:type="spellStart"/>
      <w:r>
        <w:rPr>
          <w:rFonts w:ascii="Times New Roman" w:hAnsi="Times New Roman" w:cs="Times New Roman"/>
        </w:rPr>
        <w:t>OpenALG</w:t>
      </w:r>
      <w:proofErr w:type="spellEnd"/>
      <w:r>
        <w:rPr>
          <w:rFonts w:ascii="Times New Roman" w:hAnsi="Times New Roman" w:cs="Times New Roman"/>
        </w:rPr>
        <w:t>.</w:t>
      </w:r>
    </w:p>
    <w:p w14:paraId="1F68E63B" w14:textId="77777777" w:rsidR="009930E9" w:rsidRDefault="009930E9" w:rsidP="009930E9">
      <w:pPr>
        <w:rPr>
          <w:rFonts w:ascii="Times New Roman" w:hAnsi="Times New Roman" w:cs="Times New Roman"/>
        </w:rPr>
      </w:pPr>
    </w:p>
    <w:p w14:paraId="165515C4" w14:textId="77777777" w:rsidR="009930E9" w:rsidRDefault="009930E9" w:rsidP="009930E9">
      <w:pPr>
        <w:rPr>
          <w:rFonts w:ascii="Times New Roman" w:hAnsi="Times New Roman" w:cs="Times New Roman"/>
          <w:b/>
          <w:bCs/>
        </w:rPr>
      </w:pPr>
      <w:r w:rsidRPr="001D0453">
        <w:rPr>
          <w:rFonts w:ascii="Times New Roman" w:hAnsi="Times New Roman" w:cs="Times New Roman"/>
          <w:b/>
          <w:bCs/>
        </w:rPr>
        <w:lastRenderedPageBreak/>
        <w:t>References</w:t>
      </w:r>
    </w:p>
    <w:p w14:paraId="5930B9BF" w14:textId="77777777" w:rsidR="009930E9" w:rsidRPr="00691CE0" w:rsidRDefault="009930E9" w:rsidP="009930E9">
      <w:pPr>
        <w:ind w:left="720" w:hanging="720"/>
        <w:rPr>
          <w:rFonts w:ascii="Times New Roman" w:hAnsi="Times New Roman" w:cs="Times New Roman"/>
        </w:rPr>
      </w:pPr>
      <w:r w:rsidRPr="00691CE0">
        <w:rPr>
          <w:rFonts w:ascii="Times New Roman" w:hAnsi="Times New Roman" w:cs="Times New Roman"/>
        </w:rPr>
        <w:t xml:space="preserve">Enochs, L. G., Smith, P. L., &amp; </w:t>
      </w:r>
      <w:proofErr w:type="spellStart"/>
      <w:r w:rsidRPr="00691CE0">
        <w:rPr>
          <w:rFonts w:ascii="Times New Roman" w:hAnsi="Times New Roman" w:cs="Times New Roman"/>
        </w:rPr>
        <w:t>Huinker</w:t>
      </w:r>
      <w:proofErr w:type="spellEnd"/>
      <w:r w:rsidRPr="00691CE0">
        <w:rPr>
          <w:rFonts w:ascii="Times New Roman" w:hAnsi="Times New Roman" w:cs="Times New Roman"/>
        </w:rPr>
        <w:t>, D. (2000). Establishing factorial validity of the mathematics teaching efficacy beliefs instrument. </w:t>
      </w:r>
      <w:r w:rsidRPr="00691CE0">
        <w:rPr>
          <w:rFonts w:ascii="Times New Roman" w:hAnsi="Times New Roman" w:cs="Times New Roman"/>
          <w:i/>
          <w:iCs/>
        </w:rPr>
        <w:t>School Science and mathematics</w:t>
      </w:r>
      <w:r w:rsidRPr="00691CE0">
        <w:rPr>
          <w:rFonts w:ascii="Times New Roman" w:hAnsi="Times New Roman" w:cs="Times New Roman"/>
        </w:rPr>
        <w:t>, </w:t>
      </w:r>
      <w:r w:rsidRPr="00691CE0">
        <w:rPr>
          <w:rFonts w:ascii="Times New Roman" w:hAnsi="Times New Roman" w:cs="Times New Roman"/>
          <w:i/>
          <w:iCs/>
        </w:rPr>
        <w:t>100</w:t>
      </w:r>
      <w:r w:rsidRPr="00691CE0">
        <w:rPr>
          <w:rFonts w:ascii="Times New Roman" w:hAnsi="Times New Roman" w:cs="Times New Roman"/>
        </w:rPr>
        <w:t>(4), 194-202.</w:t>
      </w:r>
    </w:p>
    <w:p w14:paraId="3D52C168" w14:textId="77777777" w:rsidR="009930E9" w:rsidRPr="00691CE0" w:rsidRDefault="009930E9" w:rsidP="009930E9">
      <w:pPr>
        <w:ind w:left="720" w:hanging="720"/>
        <w:rPr>
          <w:rFonts w:ascii="Times New Roman" w:hAnsi="Times New Roman" w:cs="Times New Roman"/>
        </w:rPr>
      </w:pPr>
      <w:proofErr w:type="spellStart"/>
      <w:r w:rsidRPr="00691CE0">
        <w:rPr>
          <w:rFonts w:ascii="Times New Roman" w:hAnsi="Times New Roman" w:cs="Times New Roman"/>
          <w:color w:val="222222"/>
          <w:shd w:val="clear" w:color="auto" w:fill="FFFFFF"/>
        </w:rPr>
        <w:t>Siwatu</w:t>
      </w:r>
      <w:proofErr w:type="spellEnd"/>
      <w:r w:rsidRPr="00691CE0">
        <w:rPr>
          <w:rFonts w:ascii="Times New Roman" w:hAnsi="Times New Roman" w:cs="Times New Roman"/>
          <w:color w:val="222222"/>
          <w:shd w:val="clear" w:color="auto" w:fill="FFFFFF"/>
        </w:rPr>
        <w:t>, K. O. (2007). Preservice teachers’ culturally responsive teaching self-efficacy and outcome expectancy beliefs. </w:t>
      </w:r>
      <w:r w:rsidRPr="00691CE0">
        <w:rPr>
          <w:rFonts w:ascii="Times New Roman" w:hAnsi="Times New Roman" w:cs="Times New Roman"/>
          <w:i/>
          <w:iCs/>
          <w:color w:val="222222"/>
          <w:shd w:val="clear" w:color="auto" w:fill="FFFFFF"/>
        </w:rPr>
        <w:t>Teaching and teacher education</w:t>
      </w:r>
      <w:r w:rsidRPr="00691CE0">
        <w:rPr>
          <w:rFonts w:ascii="Times New Roman" w:hAnsi="Times New Roman" w:cs="Times New Roman"/>
          <w:color w:val="222222"/>
          <w:shd w:val="clear" w:color="auto" w:fill="FFFFFF"/>
        </w:rPr>
        <w:t>, </w:t>
      </w:r>
      <w:r w:rsidRPr="00691CE0">
        <w:rPr>
          <w:rFonts w:ascii="Times New Roman" w:hAnsi="Times New Roman" w:cs="Times New Roman"/>
          <w:i/>
          <w:iCs/>
          <w:color w:val="222222"/>
          <w:shd w:val="clear" w:color="auto" w:fill="FFFFFF"/>
        </w:rPr>
        <w:t>23</w:t>
      </w:r>
      <w:r w:rsidRPr="00691CE0">
        <w:rPr>
          <w:rFonts w:ascii="Times New Roman" w:hAnsi="Times New Roman" w:cs="Times New Roman"/>
          <w:color w:val="222222"/>
          <w:shd w:val="clear" w:color="auto" w:fill="FFFFFF"/>
        </w:rPr>
        <w:t>(7), 1086-1101.</w:t>
      </w:r>
    </w:p>
    <w:p w14:paraId="6DF30419" w14:textId="5A224DB8" w:rsidR="009930E9" w:rsidRPr="009930E9" w:rsidRDefault="009930E9" w:rsidP="009930E9">
      <w:pPr>
        <w:ind w:left="720" w:hanging="720"/>
        <w:rPr>
          <w:rFonts w:ascii="Times New Roman" w:hAnsi="Times New Roman" w:cs="Times New Roman"/>
          <w:color w:val="222222"/>
          <w:shd w:val="clear" w:color="auto" w:fill="FFFFFF"/>
        </w:rPr>
      </w:pPr>
      <w:r w:rsidRPr="00691CE0">
        <w:rPr>
          <w:rFonts w:ascii="Times New Roman" w:hAnsi="Times New Roman" w:cs="Times New Roman"/>
          <w:color w:val="222222"/>
          <w:shd w:val="clear" w:color="auto" w:fill="FFFFFF"/>
        </w:rPr>
        <w:t>Avard, S., Manton, E., English, D., &amp; Walker, J. (2005). The Financial Knowledge of College Freshmen. </w:t>
      </w:r>
      <w:r w:rsidRPr="00691CE0">
        <w:rPr>
          <w:rFonts w:ascii="Times New Roman" w:hAnsi="Times New Roman" w:cs="Times New Roman"/>
          <w:i/>
          <w:iCs/>
          <w:color w:val="222222"/>
          <w:shd w:val="clear" w:color="auto" w:fill="FFFFFF"/>
        </w:rPr>
        <w:t>College student journal</w:t>
      </w:r>
      <w:r w:rsidRPr="00691CE0">
        <w:rPr>
          <w:rFonts w:ascii="Times New Roman" w:hAnsi="Times New Roman" w:cs="Times New Roman"/>
          <w:color w:val="222222"/>
          <w:shd w:val="clear" w:color="auto" w:fill="FFFFFF"/>
        </w:rPr>
        <w:t>, </w:t>
      </w:r>
      <w:r w:rsidRPr="00691CE0">
        <w:rPr>
          <w:rFonts w:ascii="Times New Roman" w:hAnsi="Times New Roman" w:cs="Times New Roman"/>
          <w:i/>
          <w:iCs/>
          <w:color w:val="222222"/>
          <w:shd w:val="clear" w:color="auto" w:fill="FFFFFF"/>
        </w:rPr>
        <w:t>39</w:t>
      </w:r>
      <w:r w:rsidRPr="00691CE0">
        <w:rPr>
          <w:rFonts w:ascii="Times New Roman" w:hAnsi="Times New Roman" w:cs="Times New Roman"/>
          <w:color w:val="222222"/>
          <w:shd w:val="clear" w:color="auto" w:fill="FFFFFF"/>
        </w:rPr>
        <w:t>(2).</w:t>
      </w:r>
    </w:p>
    <w:p w14:paraId="6E7CF058" w14:textId="0DA5D5F0" w:rsidR="00101A24" w:rsidRPr="004F2656" w:rsidRDefault="007C0B4B" w:rsidP="00CF04DC">
      <w:pPr>
        <w:pStyle w:val="Heading1"/>
        <w:numPr>
          <w:ilvl w:val="0"/>
          <w:numId w:val="17"/>
        </w:numPr>
        <w:ind w:left="360"/>
      </w:pPr>
      <w:r>
        <w:t>Materials Description</w:t>
      </w:r>
    </w:p>
    <w:p w14:paraId="6B54A4EF" w14:textId="77777777" w:rsidR="009930E9" w:rsidRPr="009930E9" w:rsidRDefault="009930E9" w:rsidP="009930E9">
      <w:pPr>
        <w:rPr>
          <w:rFonts w:ascii="Times New Roman" w:hAnsi="Times New Roman" w:cs="Times New Roman"/>
          <w:iCs/>
          <w:sz w:val="24"/>
          <w:szCs w:val="24"/>
        </w:rPr>
      </w:pPr>
      <w:r w:rsidRPr="009930E9">
        <w:rPr>
          <w:rFonts w:ascii="Times New Roman" w:hAnsi="Times New Roman" w:cs="Times New Roman"/>
          <w:iCs/>
          <w:sz w:val="24"/>
          <w:szCs w:val="24"/>
        </w:rPr>
        <w:t>Five modules were created that included a high-level curriculum of the major concepts for each area, important vocabulary and definitions for readers, a quiz for module, and a math task aligned to the major concepts. The five module topics included:</w:t>
      </w:r>
    </w:p>
    <w:p w14:paraId="29485225" w14:textId="77777777" w:rsidR="009930E9" w:rsidRPr="009930E9" w:rsidRDefault="009930E9" w:rsidP="009930E9">
      <w:pPr>
        <w:numPr>
          <w:ilvl w:val="0"/>
          <w:numId w:val="21"/>
        </w:numPr>
        <w:rPr>
          <w:rFonts w:ascii="Times New Roman" w:hAnsi="Times New Roman" w:cs="Times New Roman"/>
          <w:iCs/>
          <w:sz w:val="24"/>
          <w:szCs w:val="24"/>
        </w:rPr>
      </w:pPr>
      <w:r w:rsidRPr="009930E9">
        <w:rPr>
          <w:rFonts w:ascii="Times New Roman" w:hAnsi="Times New Roman" w:cs="Times New Roman"/>
          <w:iCs/>
          <w:sz w:val="24"/>
          <w:szCs w:val="24"/>
        </w:rPr>
        <w:t>Earning income, spending, &amp; saving</w:t>
      </w:r>
    </w:p>
    <w:p w14:paraId="56842FE1" w14:textId="77777777" w:rsidR="009930E9" w:rsidRPr="009930E9" w:rsidRDefault="009930E9" w:rsidP="009930E9">
      <w:pPr>
        <w:numPr>
          <w:ilvl w:val="0"/>
          <w:numId w:val="21"/>
        </w:numPr>
        <w:rPr>
          <w:rFonts w:ascii="Times New Roman" w:hAnsi="Times New Roman" w:cs="Times New Roman"/>
          <w:iCs/>
          <w:sz w:val="24"/>
          <w:szCs w:val="24"/>
        </w:rPr>
      </w:pPr>
      <w:r w:rsidRPr="009930E9">
        <w:rPr>
          <w:rFonts w:ascii="Times New Roman" w:hAnsi="Times New Roman" w:cs="Times New Roman"/>
          <w:iCs/>
          <w:sz w:val="24"/>
          <w:szCs w:val="24"/>
        </w:rPr>
        <w:t>Managing credit</w:t>
      </w:r>
    </w:p>
    <w:p w14:paraId="282DADCC" w14:textId="77777777" w:rsidR="009930E9" w:rsidRPr="009930E9" w:rsidRDefault="009930E9" w:rsidP="009930E9">
      <w:pPr>
        <w:numPr>
          <w:ilvl w:val="0"/>
          <w:numId w:val="21"/>
        </w:numPr>
        <w:rPr>
          <w:rFonts w:ascii="Times New Roman" w:hAnsi="Times New Roman" w:cs="Times New Roman"/>
          <w:iCs/>
          <w:sz w:val="24"/>
          <w:szCs w:val="24"/>
        </w:rPr>
      </w:pPr>
      <w:r w:rsidRPr="009930E9">
        <w:rPr>
          <w:rFonts w:ascii="Times New Roman" w:hAnsi="Times New Roman" w:cs="Times New Roman"/>
          <w:iCs/>
          <w:sz w:val="24"/>
          <w:szCs w:val="24"/>
        </w:rPr>
        <w:t>Managing risk</w:t>
      </w:r>
    </w:p>
    <w:p w14:paraId="6B33DFE2" w14:textId="77777777" w:rsidR="009930E9" w:rsidRPr="009930E9" w:rsidRDefault="009930E9" w:rsidP="009930E9">
      <w:pPr>
        <w:numPr>
          <w:ilvl w:val="0"/>
          <w:numId w:val="21"/>
        </w:numPr>
        <w:rPr>
          <w:rFonts w:ascii="Times New Roman" w:hAnsi="Times New Roman" w:cs="Times New Roman"/>
          <w:iCs/>
          <w:sz w:val="24"/>
          <w:szCs w:val="24"/>
        </w:rPr>
      </w:pPr>
      <w:r w:rsidRPr="009930E9">
        <w:rPr>
          <w:rFonts w:ascii="Times New Roman" w:hAnsi="Times New Roman" w:cs="Times New Roman"/>
          <w:iCs/>
          <w:sz w:val="24"/>
          <w:szCs w:val="24"/>
        </w:rPr>
        <w:t>Investing - renting vs. buying a home</w:t>
      </w:r>
    </w:p>
    <w:p w14:paraId="5E8A39C2" w14:textId="5519A648" w:rsidR="009930E9" w:rsidRPr="009930E9" w:rsidRDefault="009930E9" w:rsidP="009930E9">
      <w:pPr>
        <w:numPr>
          <w:ilvl w:val="0"/>
          <w:numId w:val="21"/>
        </w:numPr>
        <w:rPr>
          <w:rFonts w:ascii="Times New Roman" w:hAnsi="Times New Roman" w:cs="Times New Roman"/>
          <w:iCs/>
          <w:sz w:val="24"/>
          <w:szCs w:val="24"/>
        </w:rPr>
      </w:pPr>
      <w:r w:rsidRPr="009930E9">
        <w:rPr>
          <w:rFonts w:ascii="Times New Roman" w:hAnsi="Times New Roman" w:cs="Times New Roman"/>
          <w:iCs/>
          <w:sz w:val="24"/>
          <w:szCs w:val="24"/>
        </w:rPr>
        <w:t>Investing – saving for retirement</w:t>
      </w:r>
    </w:p>
    <w:p w14:paraId="2569A2E6" w14:textId="6D3A7D9F" w:rsidR="00B90CC8" w:rsidRDefault="007C0B4B" w:rsidP="00CF04DC">
      <w:pPr>
        <w:pStyle w:val="Heading1"/>
        <w:numPr>
          <w:ilvl w:val="0"/>
          <w:numId w:val="17"/>
        </w:numPr>
        <w:ind w:left="360"/>
      </w:pPr>
      <w:r>
        <w:t>Materials Links</w:t>
      </w:r>
    </w:p>
    <w:p w14:paraId="0385AB0B" w14:textId="2D86F3CE" w:rsidR="007C0B4B" w:rsidRPr="00FB5060" w:rsidRDefault="007C0B4B" w:rsidP="00204619">
      <w:pPr>
        <w:rPr>
          <w:b/>
          <w:i/>
          <w:sz w:val="24"/>
          <w:szCs w:val="24"/>
        </w:rPr>
      </w:pP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5602F862" w14:textId="77777777" w:rsidR="009930E9" w:rsidRPr="00204619" w:rsidRDefault="009930E9" w:rsidP="009930E9">
      <w:pPr>
        <w:rPr>
          <w:rFonts w:ascii="Times New Roman" w:hAnsi="Times New Roman" w:cs="Times New Roman"/>
          <w:iCs/>
          <w:sz w:val="24"/>
          <w:szCs w:val="24"/>
        </w:rPr>
      </w:pPr>
      <w:r w:rsidRPr="00204619">
        <w:rPr>
          <w:rFonts w:ascii="Times New Roman" w:hAnsi="Times New Roman" w:cs="Times New Roman"/>
          <w:iCs/>
          <w:sz w:val="24"/>
          <w:szCs w:val="24"/>
        </w:rPr>
        <w:t>We will be presenting the curriculum and findings from our quantitative data collection at the following:</w:t>
      </w:r>
    </w:p>
    <w:p w14:paraId="49D26D57" w14:textId="2BB0CB1B" w:rsidR="00CB083C" w:rsidRPr="00204619" w:rsidRDefault="009930E9" w:rsidP="009930E9">
      <w:pPr>
        <w:pStyle w:val="ListParagraph"/>
        <w:numPr>
          <w:ilvl w:val="0"/>
          <w:numId w:val="22"/>
        </w:numPr>
        <w:rPr>
          <w:rFonts w:ascii="Times New Roman" w:hAnsi="Times New Roman" w:cs="Times New Roman"/>
          <w:b/>
          <w:sz w:val="24"/>
          <w:szCs w:val="24"/>
        </w:rPr>
      </w:pPr>
      <w:r w:rsidRPr="00204619">
        <w:rPr>
          <w:rFonts w:ascii="Times New Roman" w:hAnsi="Times New Roman" w:cs="Times New Roman"/>
          <w:bCs/>
          <w:sz w:val="24"/>
          <w:szCs w:val="24"/>
        </w:rPr>
        <w:t xml:space="preserve">The UNG math department’s </w:t>
      </w:r>
      <w:r w:rsidR="00204619" w:rsidRPr="00204619">
        <w:rPr>
          <w:rFonts w:ascii="Times New Roman" w:hAnsi="Times New Roman" w:cs="Times New Roman"/>
          <w:bCs/>
          <w:sz w:val="24"/>
          <w:szCs w:val="24"/>
        </w:rPr>
        <w:t>monthly colloquium series in 2025</w:t>
      </w:r>
    </w:p>
    <w:p w14:paraId="25C290B8" w14:textId="3D0B6BD9" w:rsidR="00204619" w:rsidRPr="00204619" w:rsidRDefault="00204619" w:rsidP="009930E9">
      <w:pPr>
        <w:pStyle w:val="ListParagraph"/>
        <w:numPr>
          <w:ilvl w:val="0"/>
          <w:numId w:val="22"/>
        </w:numPr>
        <w:rPr>
          <w:rFonts w:ascii="Times New Roman" w:hAnsi="Times New Roman" w:cs="Times New Roman"/>
          <w:b/>
          <w:sz w:val="24"/>
          <w:szCs w:val="24"/>
        </w:rPr>
      </w:pPr>
      <w:r w:rsidRPr="00204619">
        <w:rPr>
          <w:rFonts w:ascii="Times New Roman" w:hAnsi="Times New Roman" w:cs="Times New Roman"/>
          <w:bCs/>
          <w:sz w:val="24"/>
          <w:szCs w:val="24"/>
        </w:rPr>
        <w:t>Kennesaw State University’s All Things Open 2025</w:t>
      </w:r>
    </w:p>
    <w:p w14:paraId="38F87CDE" w14:textId="0663EB9C" w:rsidR="00204619" w:rsidRPr="00204619" w:rsidRDefault="00204619" w:rsidP="009930E9">
      <w:pPr>
        <w:pStyle w:val="ListParagraph"/>
        <w:numPr>
          <w:ilvl w:val="0"/>
          <w:numId w:val="22"/>
        </w:numPr>
        <w:rPr>
          <w:rFonts w:ascii="Times New Roman" w:hAnsi="Times New Roman" w:cs="Times New Roman"/>
          <w:b/>
          <w:sz w:val="24"/>
          <w:szCs w:val="24"/>
        </w:rPr>
      </w:pPr>
      <w:r w:rsidRPr="00204619">
        <w:rPr>
          <w:rFonts w:ascii="Times New Roman" w:hAnsi="Times New Roman" w:cs="Times New Roman"/>
          <w:bCs/>
          <w:sz w:val="24"/>
          <w:szCs w:val="24"/>
        </w:rPr>
        <w:t>The Georgia Association of Mathematics Teacher Educators (GAMTE)’s annual meeting at Rock Eagle in 2025</w:t>
      </w:r>
    </w:p>
    <w:sectPr w:rsidR="00204619" w:rsidRPr="002046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0000500000000020000"/>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A216BC"/>
    <w:multiLevelType w:val="hybridMultilevel"/>
    <w:tmpl w:val="44921E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E536D42"/>
    <w:multiLevelType w:val="hybridMultilevel"/>
    <w:tmpl w:val="B1102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F3AF4"/>
    <w:multiLevelType w:val="hybridMultilevel"/>
    <w:tmpl w:val="B4E0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C22D9E"/>
    <w:multiLevelType w:val="hybridMultilevel"/>
    <w:tmpl w:val="44921E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F46832"/>
    <w:multiLevelType w:val="hybridMultilevel"/>
    <w:tmpl w:val="113A58C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00697136">
    <w:abstractNumId w:val="11"/>
  </w:num>
  <w:num w:numId="2" w16cid:durableId="1441757836">
    <w:abstractNumId w:val="18"/>
  </w:num>
  <w:num w:numId="3" w16cid:durableId="971053982">
    <w:abstractNumId w:val="19"/>
  </w:num>
  <w:num w:numId="4" w16cid:durableId="1208254156">
    <w:abstractNumId w:val="15"/>
  </w:num>
  <w:num w:numId="5" w16cid:durableId="2019890482">
    <w:abstractNumId w:val="4"/>
  </w:num>
  <w:num w:numId="6" w16cid:durableId="354045405">
    <w:abstractNumId w:val="5"/>
  </w:num>
  <w:num w:numId="7" w16cid:durableId="474763533">
    <w:abstractNumId w:val="2"/>
  </w:num>
  <w:num w:numId="8" w16cid:durableId="891772218">
    <w:abstractNumId w:val="8"/>
  </w:num>
  <w:num w:numId="9" w16cid:durableId="1869561384">
    <w:abstractNumId w:val="1"/>
  </w:num>
  <w:num w:numId="10" w16cid:durableId="2089762126">
    <w:abstractNumId w:val="13"/>
  </w:num>
  <w:num w:numId="11" w16cid:durableId="978731614">
    <w:abstractNumId w:val="0"/>
  </w:num>
  <w:num w:numId="12" w16cid:durableId="771970439">
    <w:abstractNumId w:val="14"/>
  </w:num>
  <w:num w:numId="13" w16cid:durableId="998928208">
    <w:abstractNumId w:val="17"/>
  </w:num>
  <w:num w:numId="14" w16cid:durableId="113910903">
    <w:abstractNumId w:val="12"/>
  </w:num>
  <w:num w:numId="15" w16cid:durableId="213857166">
    <w:abstractNumId w:val="3"/>
  </w:num>
  <w:num w:numId="16" w16cid:durableId="618297410">
    <w:abstractNumId w:val="21"/>
  </w:num>
  <w:num w:numId="17" w16cid:durableId="1997295538">
    <w:abstractNumId w:val="7"/>
  </w:num>
  <w:num w:numId="18" w16cid:durableId="369426735">
    <w:abstractNumId w:val="6"/>
  </w:num>
  <w:num w:numId="19" w16cid:durableId="1859659035">
    <w:abstractNumId w:val="9"/>
  </w:num>
  <w:num w:numId="20" w16cid:durableId="1342078064">
    <w:abstractNumId w:val="10"/>
  </w:num>
  <w:num w:numId="21" w16cid:durableId="1024404337">
    <w:abstractNumId w:val="16"/>
  </w:num>
  <w:num w:numId="22" w16cid:durableId="91370520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101A24"/>
    <w:rsid w:val="0015324D"/>
    <w:rsid w:val="001A218C"/>
    <w:rsid w:val="001B2107"/>
    <w:rsid w:val="001B63FA"/>
    <w:rsid w:val="001D51FD"/>
    <w:rsid w:val="001E0EE3"/>
    <w:rsid w:val="00204619"/>
    <w:rsid w:val="00240544"/>
    <w:rsid w:val="003038A8"/>
    <w:rsid w:val="003140A6"/>
    <w:rsid w:val="00346044"/>
    <w:rsid w:val="003E1BCB"/>
    <w:rsid w:val="00471C68"/>
    <w:rsid w:val="0048459F"/>
    <w:rsid w:val="004B6F78"/>
    <w:rsid w:val="004F2656"/>
    <w:rsid w:val="005212A0"/>
    <w:rsid w:val="0057795F"/>
    <w:rsid w:val="005C11E8"/>
    <w:rsid w:val="005C6C27"/>
    <w:rsid w:val="00684A25"/>
    <w:rsid w:val="00687254"/>
    <w:rsid w:val="006A36A9"/>
    <w:rsid w:val="0073273B"/>
    <w:rsid w:val="00772C9F"/>
    <w:rsid w:val="007B3CE1"/>
    <w:rsid w:val="007C0B4B"/>
    <w:rsid w:val="00811187"/>
    <w:rsid w:val="00945780"/>
    <w:rsid w:val="00987DD6"/>
    <w:rsid w:val="009930E9"/>
    <w:rsid w:val="00AF4890"/>
    <w:rsid w:val="00B516BC"/>
    <w:rsid w:val="00B90CC8"/>
    <w:rsid w:val="00BF3C8A"/>
    <w:rsid w:val="00C45872"/>
    <w:rsid w:val="00C66162"/>
    <w:rsid w:val="00C749E5"/>
    <w:rsid w:val="00C807D1"/>
    <w:rsid w:val="00C80819"/>
    <w:rsid w:val="00C96BCC"/>
    <w:rsid w:val="00CB083C"/>
    <w:rsid w:val="00CF04DC"/>
    <w:rsid w:val="00D8118C"/>
    <w:rsid w:val="00DC2BFF"/>
    <w:rsid w:val="00DD3803"/>
    <w:rsid w:val="00DD5245"/>
    <w:rsid w:val="00DF79E1"/>
    <w:rsid w:val="00E167BE"/>
    <w:rsid w:val="00E30A45"/>
    <w:rsid w:val="00E34FAA"/>
    <w:rsid w:val="00E73942"/>
    <w:rsid w:val="00EA7057"/>
    <w:rsid w:val="00EE35AB"/>
    <w:rsid w:val="00EE7C7E"/>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uiPriority w:val="39"/>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2.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AF350A2-0F76-424E-B7C6-4BB364360EB9}"/>
</file>

<file path=docProps/app.xml><?xml version="1.0" encoding="utf-8"?>
<Properties xmlns="http://schemas.openxmlformats.org/officeDocument/2006/extended-properties" xmlns:vt="http://schemas.openxmlformats.org/officeDocument/2006/docPropsVTypes">
  <Template>Normal.dotm</Template>
  <TotalTime>21</TotalTime>
  <Pages>5</Pages>
  <Words>1723</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John Bragelman</cp:lastModifiedBy>
  <cp:revision>13</cp:revision>
  <dcterms:created xsi:type="dcterms:W3CDTF">2018-08-02T12:26:00Z</dcterms:created>
  <dcterms:modified xsi:type="dcterms:W3CDTF">2024-12-16T19:14:00Z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