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346CA04A"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rPr>
      </w:pPr>
      <w:r>
        <w:rPr>
          <w:iCs/>
        </w:rPr>
        <w:t>Once you have completed this template, to</w:t>
      </w:r>
      <w:r w:rsidR="0033401E" w:rsidRPr="00871BC4">
        <w:rPr>
          <w:iCs/>
        </w:rPr>
        <w:t xml:space="preserve"> submit your Final Report, go to the </w:t>
      </w:r>
      <w:hyperlink r:id="rId10" w:history="1">
        <w:r w:rsidR="0033401E" w:rsidRPr="003F4D85">
          <w:rPr>
            <w:rStyle w:val="Hyperlink"/>
            <w:iCs/>
          </w:rPr>
          <w:t xml:space="preserve">Final Report submission </w:t>
        </w:r>
      </w:hyperlink>
      <w:r>
        <w:rPr>
          <w:rStyle w:val="Hyperlink"/>
          <w:iCs/>
        </w:rPr>
        <w:t>form.</w:t>
      </w:r>
      <w:r w:rsidR="0033401E" w:rsidRPr="00871BC4">
        <w:rPr>
          <w:iCs/>
        </w:rPr>
        <w:t xml:space="preserve"> </w:t>
      </w:r>
    </w:p>
    <w:p w14:paraId="67CBE099" w14:textId="1C4F5FEC" w:rsidR="0033401E" w:rsidRPr="00871BC4" w:rsidRDefault="00D11976" w:rsidP="0033401E">
      <w:pPr>
        <w:rPr>
          <w:iCs/>
        </w:rPr>
      </w:pPr>
      <w:r w:rsidRPr="00871BC4">
        <w:rPr>
          <w:iCs/>
        </w:rPr>
        <w:t>The final report submission form</w:t>
      </w:r>
      <w:r w:rsidR="00647915">
        <w:rPr>
          <w:iCs/>
        </w:rPr>
        <w:t xml:space="preserve"> allows you to submit the following</w:t>
      </w:r>
      <w:r w:rsidR="0033401E" w:rsidRPr="00871BC4">
        <w:rPr>
          <w:iCs/>
        </w:rPr>
        <w:t xml:space="preserve">: </w:t>
      </w:r>
    </w:p>
    <w:p w14:paraId="324FBD38" w14:textId="0BE92390" w:rsidR="0033401E" w:rsidRPr="00871BC4" w:rsidRDefault="0033401E" w:rsidP="00A94A5F">
      <w:pPr>
        <w:pStyle w:val="ListParagraph"/>
        <w:numPr>
          <w:ilvl w:val="0"/>
          <w:numId w:val="6"/>
        </w:numPr>
        <w:rPr>
          <w:iCs/>
        </w:rPr>
      </w:pPr>
      <w:r w:rsidRPr="00871BC4">
        <w:rPr>
          <w:iCs/>
        </w:rPr>
        <w:t>This completed narrative document</w:t>
      </w:r>
      <w:r w:rsidR="00D11976" w:rsidRPr="00871BC4">
        <w:rPr>
          <w:iCs/>
        </w:rPr>
        <w:t xml:space="preserve"> (required)</w:t>
      </w:r>
      <w:r w:rsidRPr="00871BC4">
        <w:rPr>
          <w:iCs/>
        </w:rPr>
        <w:t xml:space="preserve"> </w:t>
      </w:r>
    </w:p>
    <w:p w14:paraId="69BBA9F0" w14:textId="0D8EA1F4" w:rsidR="00630263" w:rsidRPr="00871BC4" w:rsidRDefault="0033401E" w:rsidP="00A94A5F">
      <w:pPr>
        <w:pStyle w:val="ListParagraph"/>
        <w:numPr>
          <w:ilvl w:val="0"/>
          <w:numId w:val="6"/>
        </w:numPr>
        <w:rPr>
          <w:iCs/>
        </w:rPr>
      </w:pPr>
      <w:r w:rsidRPr="00871BC4">
        <w:rPr>
          <w:iCs/>
        </w:rPr>
        <w:t xml:space="preserve">Syllabus or syllabi </w:t>
      </w:r>
      <w:r w:rsidR="00D11976" w:rsidRPr="00871BC4">
        <w:rPr>
          <w:iCs/>
        </w:rPr>
        <w:t>(required)</w:t>
      </w:r>
    </w:p>
    <w:p w14:paraId="67840C72" w14:textId="15AFAE9E" w:rsidR="0033401E" w:rsidRPr="003F4D85" w:rsidRDefault="001F4532" w:rsidP="00285B86">
      <w:pPr>
        <w:pStyle w:val="ListParagraph"/>
        <w:ind w:left="1080"/>
        <w:rPr>
          <w:i/>
        </w:rPr>
      </w:pPr>
      <w:r w:rsidRPr="003F4D85">
        <w:rPr>
          <w:i/>
        </w:rPr>
        <w:t>I</w:t>
      </w:r>
      <w:r w:rsidR="0033401E" w:rsidRPr="003F4D85">
        <w:rPr>
          <w:i/>
        </w:rPr>
        <w:t xml:space="preserve">f multiple files, compress into one .zip folder </w:t>
      </w:r>
    </w:p>
    <w:p w14:paraId="22ECA3EE" w14:textId="12DE2EC8" w:rsidR="00630263" w:rsidRPr="00871BC4" w:rsidRDefault="00630263" w:rsidP="00A94A5F">
      <w:pPr>
        <w:pStyle w:val="ListParagraph"/>
        <w:numPr>
          <w:ilvl w:val="0"/>
          <w:numId w:val="6"/>
        </w:numPr>
        <w:rPr>
          <w:iCs/>
        </w:rPr>
      </w:pPr>
      <w:r w:rsidRPr="00871BC4">
        <w:rPr>
          <w:iCs/>
        </w:rPr>
        <w:t>Qualitative/Quantitative Measures d</w:t>
      </w:r>
      <w:r w:rsidR="0033401E" w:rsidRPr="00871BC4">
        <w:rPr>
          <w:iCs/>
        </w:rPr>
        <w:t>ata files</w:t>
      </w:r>
      <w:r w:rsidR="00D11976" w:rsidRPr="00871BC4">
        <w:rPr>
          <w:iCs/>
        </w:rPr>
        <w:t xml:space="preserve"> (</w:t>
      </w:r>
      <w:r w:rsidR="00647915">
        <w:rPr>
          <w:iCs/>
        </w:rPr>
        <w:t>optional, as needed</w:t>
      </w:r>
      <w:r w:rsidR="00D11976" w:rsidRPr="00871BC4">
        <w:rPr>
          <w:iCs/>
        </w:rPr>
        <w:t>)</w:t>
      </w:r>
      <w:r w:rsidR="0033401E" w:rsidRPr="00871BC4">
        <w:rPr>
          <w:iCs/>
        </w:rPr>
        <w:t xml:space="preserve"> </w:t>
      </w:r>
    </w:p>
    <w:p w14:paraId="6300CD79" w14:textId="4E3EFF08" w:rsidR="001F4532" w:rsidRPr="003F4D85" w:rsidRDefault="001F4532" w:rsidP="00285B86">
      <w:pPr>
        <w:pStyle w:val="ListParagraph"/>
        <w:ind w:left="1080"/>
        <w:rPr>
          <w:i/>
        </w:rPr>
      </w:pPr>
      <w:r w:rsidRPr="003F4D85">
        <w:rPr>
          <w:i/>
        </w:rPr>
        <w:t>I</w:t>
      </w:r>
      <w:r w:rsidR="0033401E" w:rsidRPr="003F4D85">
        <w:rPr>
          <w:i/>
        </w:rPr>
        <w:t>f multiple files, compress into one .zip folder</w:t>
      </w:r>
    </w:p>
    <w:p w14:paraId="1B7933E0" w14:textId="68FDC791" w:rsidR="0033401E" w:rsidRPr="00871BC4" w:rsidRDefault="0033401E" w:rsidP="00A94A5F">
      <w:pPr>
        <w:pStyle w:val="ListParagraph"/>
        <w:numPr>
          <w:ilvl w:val="0"/>
          <w:numId w:val="6"/>
        </w:numPr>
        <w:rPr>
          <w:iCs/>
        </w:rPr>
      </w:pPr>
      <w:r w:rsidRPr="00871BC4">
        <w:rPr>
          <w:iCs/>
        </w:rPr>
        <w:t>Photo of your team or a class of your students</w:t>
      </w:r>
      <w:r w:rsidR="001F4532" w:rsidRPr="00871BC4">
        <w:rPr>
          <w:iCs/>
        </w:rPr>
        <w:t xml:space="preserve"> for future ALG promotions</w:t>
      </w:r>
      <w:r w:rsidR="0097575D" w:rsidRPr="00871BC4">
        <w:rPr>
          <w:iCs/>
        </w:rPr>
        <w:t xml:space="preserve"> (optional)</w:t>
      </w:r>
    </w:p>
    <w:p w14:paraId="6ADE06B3" w14:textId="79E3E735" w:rsidR="00D11976" w:rsidRPr="00871BC4" w:rsidRDefault="00D11976" w:rsidP="00A94A5F">
      <w:pPr>
        <w:pStyle w:val="ListParagraph"/>
        <w:numPr>
          <w:ilvl w:val="0"/>
          <w:numId w:val="6"/>
        </w:numPr>
        <w:rPr>
          <w:iCs/>
        </w:rPr>
      </w:pPr>
      <w:r w:rsidRPr="00871BC4">
        <w:rPr>
          <w:iCs/>
        </w:rPr>
        <w:t xml:space="preserve">Invoice for the second half of the grant’s award amount (optional) </w:t>
      </w:r>
    </w:p>
    <w:p w14:paraId="0CE62F26" w14:textId="4773B66F" w:rsidR="00687254" w:rsidRPr="00871BC4" w:rsidRDefault="00687254" w:rsidP="0073273B">
      <w:pPr>
        <w:rPr>
          <w:iCs/>
        </w:rPr>
      </w:pPr>
      <w:r w:rsidRPr="00871BC4">
        <w:rPr>
          <w:iCs/>
        </w:rPr>
        <w:t>Follow the instructions on the webpage</w:t>
      </w:r>
      <w:r w:rsidR="0033401E" w:rsidRPr="00871BC4">
        <w:rPr>
          <w:iCs/>
        </w:rPr>
        <w:t xml:space="preserve"> for uploading your documents. B</w:t>
      </w:r>
      <w:r w:rsidRPr="00871BC4">
        <w:rPr>
          <w:iCs/>
        </w:rPr>
        <w:t>ased on receipt of this report</w:t>
      </w:r>
      <w:r w:rsidR="00BF3C8A" w:rsidRPr="00871BC4">
        <w:rPr>
          <w:iCs/>
        </w:rPr>
        <w:t>,</w:t>
      </w:r>
      <w:r w:rsidRPr="00871BC4">
        <w:rPr>
          <w:iCs/>
        </w:rPr>
        <w:t xml:space="preserve"> ALG </w:t>
      </w:r>
      <w:r w:rsidR="00DF79E1" w:rsidRPr="00871BC4">
        <w:rPr>
          <w:iCs/>
        </w:rPr>
        <w:t>will process</w:t>
      </w:r>
      <w:r w:rsidRPr="00871BC4">
        <w:rPr>
          <w:iCs/>
        </w:rPr>
        <w:t xml:space="preserve"> the final payment for your grant.  ALG </w:t>
      </w:r>
      <w:r w:rsidR="0033401E" w:rsidRPr="00871BC4">
        <w:rPr>
          <w:iCs/>
        </w:rPr>
        <w:t xml:space="preserve">will </w:t>
      </w:r>
      <w:r w:rsidRPr="00871BC4">
        <w:rPr>
          <w:iCs/>
        </w:rPr>
        <w:t>follow up</w:t>
      </w:r>
      <w:r w:rsidR="00630263" w:rsidRPr="00871BC4">
        <w:rPr>
          <w:iCs/>
        </w:rPr>
        <w:t xml:space="preserve"> in the future with p</w:t>
      </w:r>
      <w:r w:rsidR="0033401E" w:rsidRPr="00871BC4">
        <w:rPr>
          <w:iCs/>
        </w:rPr>
        <w:t>ost-project grantee survey</w:t>
      </w:r>
      <w:r w:rsidR="00630263" w:rsidRPr="00871BC4">
        <w:rPr>
          <w:iCs/>
        </w:rPr>
        <w:t>s</w:t>
      </w:r>
      <w:r w:rsidR="0033401E" w:rsidRPr="00871BC4">
        <w:rPr>
          <w:iCs/>
        </w:rPr>
        <w:t xml:space="preserve"> and may also </w:t>
      </w:r>
      <w:r w:rsidRPr="00871BC4">
        <w:rPr>
          <w:iCs/>
        </w:rPr>
        <w:t xml:space="preserve">request your participation </w:t>
      </w:r>
      <w:r w:rsidR="00DF79E1" w:rsidRPr="00871BC4">
        <w:rPr>
          <w:iCs/>
        </w:rPr>
        <w:t>in a publication, presentation,</w:t>
      </w:r>
      <w:r w:rsidRPr="00871BC4">
        <w:rPr>
          <w:iCs/>
        </w:rPr>
        <w:t xml:space="preserve"> or other event. </w:t>
      </w:r>
    </w:p>
    <w:p w14:paraId="5C78177A" w14:textId="77777777" w:rsidR="00243E4C" w:rsidRDefault="00243E4C" w:rsidP="0033401E">
      <w:pPr>
        <w:pStyle w:val="Heading1"/>
      </w:pPr>
    </w:p>
    <w:p w14:paraId="0168776C" w14:textId="77777777" w:rsidR="00243E4C" w:rsidRDefault="00243E4C" w:rsidP="0033401E">
      <w:pPr>
        <w:pStyle w:val="Heading1"/>
      </w:pPr>
    </w:p>
    <w:p w14:paraId="4357722D" w14:textId="77777777" w:rsidR="00243E4C" w:rsidRDefault="00243E4C" w:rsidP="0033401E">
      <w:pPr>
        <w:pStyle w:val="Heading1"/>
      </w:pPr>
    </w:p>
    <w:p w14:paraId="6BF02510" w14:textId="1FBA262E" w:rsidR="0033401E" w:rsidRDefault="0033401E" w:rsidP="0033401E">
      <w:pPr>
        <w:pStyle w:val="Heading1"/>
      </w:pPr>
      <w:r>
        <w:t>General Information</w:t>
      </w:r>
    </w:p>
    <w:p w14:paraId="6A5B7154" w14:textId="48BA5939" w:rsidR="00687254" w:rsidRDefault="00687254" w:rsidP="00687254">
      <w:pPr>
        <w:ind w:left="360"/>
        <w:rPr>
          <w:b/>
        </w:rPr>
      </w:pPr>
      <w:r w:rsidRPr="004F2656">
        <w:rPr>
          <w:b/>
        </w:rPr>
        <w:t>Date</w:t>
      </w:r>
      <w:r w:rsidR="003E1BCB" w:rsidRPr="004F2656">
        <w:rPr>
          <w:b/>
        </w:rPr>
        <w:t>:</w:t>
      </w:r>
      <w:r w:rsidR="00E5114B">
        <w:rPr>
          <w:b/>
        </w:rPr>
        <w:t xml:space="preserve"> </w:t>
      </w:r>
      <w:r w:rsidR="00E5114B" w:rsidRPr="00E1772C">
        <w:rPr>
          <w:bCs/>
        </w:rPr>
        <w:t xml:space="preserve">Jan </w:t>
      </w:r>
      <w:r w:rsidR="002F22B5">
        <w:rPr>
          <w:bCs/>
        </w:rPr>
        <w:t>12</w:t>
      </w:r>
      <w:r w:rsidR="00E5114B" w:rsidRPr="00E1772C">
        <w:rPr>
          <w:bCs/>
        </w:rPr>
        <w:t>, 2026</w:t>
      </w:r>
    </w:p>
    <w:p w14:paraId="1CB2C16B" w14:textId="62D8CE01" w:rsidR="0033401E" w:rsidRPr="004F2656" w:rsidRDefault="0033401E" w:rsidP="00687254">
      <w:pPr>
        <w:ind w:left="360"/>
        <w:rPr>
          <w:b/>
        </w:rPr>
      </w:pPr>
      <w:r>
        <w:rPr>
          <w:b/>
        </w:rPr>
        <w:t>Grant Round:</w:t>
      </w:r>
      <w:r w:rsidR="00E5114B">
        <w:rPr>
          <w:b/>
        </w:rPr>
        <w:t xml:space="preserve"> </w:t>
      </w:r>
      <w:r w:rsidR="00E1772C" w:rsidRPr="00E1772C">
        <w:rPr>
          <w:bCs/>
        </w:rPr>
        <w:t>26</w:t>
      </w:r>
    </w:p>
    <w:p w14:paraId="41045492" w14:textId="6C03DC70" w:rsidR="00240544" w:rsidRPr="004F2656" w:rsidRDefault="003E1BCB" w:rsidP="00687254">
      <w:pPr>
        <w:ind w:left="360"/>
        <w:rPr>
          <w:b/>
        </w:rPr>
      </w:pPr>
      <w:r w:rsidRPr="004F2656">
        <w:rPr>
          <w:b/>
        </w:rPr>
        <w:t>Grant</w:t>
      </w:r>
      <w:r w:rsidR="00687254" w:rsidRPr="004F2656">
        <w:rPr>
          <w:b/>
        </w:rPr>
        <w:t xml:space="preserve"> Number</w:t>
      </w:r>
      <w:r w:rsidRPr="004F2656">
        <w:rPr>
          <w:b/>
        </w:rPr>
        <w:t>:</w:t>
      </w:r>
      <w:r w:rsidR="00E1772C">
        <w:rPr>
          <w:b/>
        </w:rPr>
        <w:t xml:space="preserve"> </w:t>
      </w:r>
      <w:r w:rsidR="00E1772C" w:rsidRPr="00E1772C">
        <w:rPr>
          <w:bCs/>
        </w:rPr>
        <w:t>740</w:t>
      </w:r>
    </w:p>
    <w:p w14:paraId="65C4B013" w14:textId="58C00320" w:rsidR="00687254" w:rsidRDefault="00687254" w:rsidP="00687254">
      <w:pPr>
        <w:ind w:left="360"/>
        <w:rPr>
          <w:b/>
        </w:rPr>
      </w:pPr>
      <w:r w:rsidRPr="004F2656">
        <w:rPr>
          <w:b/>
        </w:rPr>
        <w:t>Institution Name(s</w:t>
      </w:r>
      <w:r w:rsidR="003E1BCB" w:rsidRPr="004F2656">
        <w:rPr>
          <w:b/>
        </w:rPr>
        <w:t>):</w:t>
      </w:r>
      <w:r w:rsidR="00E1772C">
        <w:rPr>
          <w:b/>
        </w:rPr>
        <w:t xml:space="preserve"> </w:t>
      </w:r>
      <w:r w:rsidR="00E1772C" w:rsidRPr="00E1772C">
        <w:rPr>
          <w:bCs/>
        </w:rPr>
        <w:t>Kennesaw State University</w:t>
      </w:r>
    </w:p>
    <w:p w14:paraId="28FD8E6E" w14:textId="4E915EC8" w:rsidR="0033401E" w:rsidRPr="004F2656" w:rsidRDefault="0033401E" w:rsidP="0033401E">
      <w:pPr>
        <w:ind w:left="360"/>
        <w:rPr>
          <w:b/>
        </w:rPr>
      </w:pPr>
      <w:r w:rsidRPr="004F2656">
        <w:rPr>
          <w:b/>
        </w:rPr>
        <w:t>Project Lead:</w:t>
      </w:r>
      <w:r w:rsidR="00E1772C">
        <w:rPr>
          <w:b/>
        </w:rPr>
        <w:t xml:space="preserve"> </w:t>
      </w:r>
      <w:r w:rsidR="00E1772C" w:rsidRPr="00E1772C">
        <w:rPr>
          <w:bCs/>
        </w:rPr>
        <w:t>Parminder Juneja</w:t>
      </w:r>
    </w:p>
    <w:p w14:paraId="6A7C5B5B" w14:textId="5A460E6C" w:rsidR="00687254" w:rsidRPr="004F2656" w:rsidRDefault="00687254" w:rsidP="00687254">
      <w:pPr>
        <w:ind w:left="360"/>
        <w:rPr>
          <w:b/>
        </w:rPr>
      </w:pPr>
      <w:r w:rsidRPr="004F2656">
        <w:rPr>
          <w:b/>
        </w:rPr>
        <w:t>Team Members (Name, Title, Department, Institutions if different, and email address for each)</w:t>
      </w:r>
      <w:r w:rsidR="003E1BCB" w:rsidRPr="004F2656">
        <w:rPr>
          <w:b/>
        </w:rPr>
        <w:t>:</w:t>
      </w:r>
      <w:r w:rsidR="00E1772C">
        <w:rPr>
          <w:b/>
        </w:rPr>
        <w:t xml:space="preserve"> </w:t>
      </w:r>
      <w:proofErr w:type="spellStart"/>
      <w:r w:rsidR="00E1772C" w:rsidRPr="000A46F8">
        <w:rPr>
          <w:bCs/>
        </w:rPr>
        <w:t>PavanKumar</w:t>
      </w:r>
      <w:proofErr w:type="spellEnd"/>
      <w:r w:rsidR="00E1772C" w:rsidRPr="000A46F8">
        <w:rPr>
          <w:bCs/>
        </w:rPr>
        <w:t xml:space="preserve"> Meadati, Construction Management, </w:t>
      </w:r>
      <w:r w:rsidR="000A46F8" w:rsidRPr="000A46F8">
        <w:rPr>
          <w:bCs/>
        </w:rPr>
        <w:t>pmeadati@kennesaw.edu</w:t>
      </w:r>
    </w:p>
    <w:p w14:paraId="46A62745" w14:textId="0E911C3E" w:rsidR="00DF79E1" w:rsidRPr="004F2656" w:rsidRDefault="00DF79E1" w:rsidP="00E167BE">
      <w:pPr>
        <w:ind w:left="360"/>
        <w:rPr>
          <w:b/>
        </w:rPr>
      </w:pPr>
      <w:r w:rsidRPr="004F2656">
        <w:rPr>
          <w:b/>
        </w:rPr>
        <w:t>Course Name(s) and Course Numbers</w:t>
      </w:r>
      <w:r w:rsidR="003E1BCB" w:rsidRPr="004F2656">
        <w:rPr>
          <w:b/>
        </w:rPr>
        <w:t>:</w:t>
      </w:r>
      <w:r w:rsidR="000A46F8">
        <w:rPr>
          <w:b/>
        </w:rPr>
        <w:t xml:space="preserve"> </w:t>
      </w:r>
      <w:r w:rsidR="000A46F8" w:rsidRPr="000A46F8">
        <w:rPr>
          <w:bCs/>
        </w:rPr>
        <w:t>CM 3800, Construction Finance</w:t>
      </w:r>
    </w:p>
    <w:p w14:paraId="3E617D79" w14:textId="04C6D4B0" w:rsidR="00DF79E1" w:rsidRPr="004F2656" w:rsidRDefault="00DF79E1" w:rsidP="00E167BE">
      <w:pPr>
        <w:ind w:left="360"/>
        <w:rPr>
          <w:b/>
        </w:rPr>
      </w:pPr>
      <w:r w:rsidRPr="004F2656">
        <w:rPr>
          <w:b/>
        </w:rPr>
        <w:t>Semester Project Began</w:t>
      </w:r>
      <w:r w:rsidR="003E1BCB" w:rsidRPr="004F2656">
        <w:rPr>
          <w:b/>
        </w:rPr>
        <w:t>:</w:t>
      </w:r>
      <w:r w:rsidR="000A46F8">
        <w:rPr>
          <w:b/>
        </w:rPr>
        <w:t xml:space="preserve"> </w:t>
      </w:r>
      <w:r w:rsidR="000A46F8" w:rsidRPr="000A46F8">
        <w:rPr>
          <w:bCs/>
        </w:rPr>
        <w:t>Spring 202</w:t>
      </w:r>
      <w:r w:rsidR="000A46F8">
        <w:rPr>
          <w:bCs/>
        </w:rPr>
        <w:t>5</w:t>
      </w:r>
    </w:p>
    <w:p w14:paraId="4D2A60B3" w14:textId="1B5B49D4" w:rsidR="00687254" w:rsidRPr="004F2656" w:rsidRDefault="0033401E" w:rsidP="00E167BE">
      <w:pPr>
        <w:ind w:left="360"/>
        <w:rPr>
          <w:b/>
        </w:rPr>
      </w:pPr>
      <w:r>
        <w:rPr>
          <w:b/>
        </w:rPr>
        <w:t xml:space="preserve">Final </w:t>
      </w:r>
      <w:r w:rsidR="00687254" w:rsidRPr="004F2656">
        <w:rPr>
          <w:b/>
        </w:rPr>
        <w:t>Semester of Implementation</w:t>
      </w:r>
      <w:r w:rsidR="003E1BCB" w:rsidRPr="004F2656">
        <w:rPr>
          <w:b/>
        </w:rPr>
        <w:t>:</w:t>
      </w:r>
      <w:r w:rsidR="000A46F8">
        <w:rPr>
          <w:b/>
        </w:rPr>
        <w:t xml:space="preserve"> </w:t>
      </w:r>
      <w:r w:rsidR="000A46F8" w:rsidRPr="000A46F8">
        <w:rPr>
          <w:bCs/>
        </w:rPr>
        <w:t>Summer and Fall 202</w:t>
      </w:r>
      <w:r w:rsidR="000A46F8">
        <w:rPr>
          <w:bCs/>
        </w:rPr>
        <w:t>5</w:t>
      </w:r>
    </w:p>
    <w:p w14:paraId="6AA64C08" w14:textId="54BFE047" w:rsidR="00DF79E1" w:rsidRDefault="00DF79E1" w:rsidP="00DF79E1">
      <w:pPr>
        <w:ind w:left="360"/>
        <w:rPr>
          <w:bCs/>
        </w:rPr>
      </w:pPr>
      <w:r w:rsidRPr="004F2656">
        <w:rPr>
          <w:b/>
        </w:rPr>
        <w:t>Total Number of Stud</w:t>
      </w:r>
      <w:r w:rsidR="0033401E">
        <w:rPr>
          <w:b/>
        </w:rPr>
        <w:t>ents Affected During Project</w:t>
      </w:r>
      <w:r w:rsidR="003E1BCB" w:rsidRPr="004F2656">
        <w:rPr>
          <w:b/>
        </w:rPr>
        <w:t>:</w:t>
      </w:r>
      <w:r w:rsidR="000A46F8">
        <w:rPr>
          <w:b/>
        </w:rPr>
        <w:t xml:space="preserve"> </w:t>
      </w:r>
      <w:r w:rsidR="00307194" w:rsidRPr="00307194">
        <w:rPr>
          <w:bCs/>
        </w:rPr>
        <w:t>133</w:t>
      </w:r>
    </w:p>
    <w:p w14:paraId="17C76E60" w14:textId="77777777" w:rsidR="00243E4C" w:rsidRDefault="00243E4C" w:rsidP="00DF79E1">
      <w:pPr>
        <w:ind w:left="360"/>
        <w:rPr>
          <w:b/>
        </w:rPr>
      </w:pPr>
    </w:p>
    <w:p w14:paraId="735F8619" w14:textId="77777777" w:rsidR="00243E4C" w:rsidRDefault="00243E4C" w:rsidP="00DF79E1">
      <w:pPr>
        <w:ind w:left="360"/>
        <w:rPr>
          <w:b/>
        </w:rPr>
      </w:pPr>
    </w:p>
    <w:p w14:paraId="7F42200C" w14:textId="77777777" w:rsidR="00243E4C" w:rsidRDefault="00243E4C" w:rsidP="00DF79E1">
      <w:pPr>
        <w:ind w:left="360"/>
        <w:rPr>
          <w:b/>
        </w:rPr>
      </w:pPr>
    </w:p>
    <w:p w14:paraId="3C0E1C3D" w14:textId="77777777" w:rsidR="00243E4C" w:rsidRDefault="00243E4C" w:rsidP="00DF79E1">
      <w:pPr>
        <w:ind w:left="360"/>
        <w:rPr>
          <w:b/>
        </w:rPr>
      </w:pPr>
    </w:p>
    <w:p w14:paraId="2A504141" w14:textId="77777777" w:rsidR="00243E4C" w:rsidRDefault="00243E4C" w:rsidP="00DF79E1">
      <w:pPr>
        <w:ind w:left="360"/>
        <w:rPr>
          <w:b/>
        </w:rPr>
      </w:pPr>
    </w:p>
    <w:p w14:paraId="4087284F" w14:textId="77777777" w:rsidR="00243E4C" w:rsidRDefault="00243E4C" w:rsidP="00DF79E1">
      <w:pPr>
        <w:ind w:left="360"/>
        <w:rPr>
          <w:b/>
        </w:rPr>
      </w:pPr>
    </w:p>
    <w:p w14:paraId="696F65D3" w14:textId="77777777" w:rsidR="00243E4C" w:rsidRDefault="00243E4C" w:rsidP="00DF79E1">
      <w:pPr>
        <w:ind w:left="360"/>
        <w:rPr>
          <w:b/>
        </w:rPr>
      </w:pPr>
    </w:p>
    <w:p w14:paraId="7B31B27A" w14:textId="77777777" w:rsidR="00243E4C" w:rsidRDefault="00243E4C" w:rsidP="00DF79E1">
      <w:pPr>
        <w:ind w:left="360"/>
        <w:rPr>
          <w:b/>
        </w:rPr>
      </w:pPr>
    </w:p>
    <w:p w14:paraId="51E4D8B4" w14:textId="77777777" w:rsidR="00243E4C" w:rsidRDefault="00243E4C" w:rsidP="00DF79E1">
      <w:pPr>
        <w:ind w:left="360"/>
        <w:rPr>
          <w:b/>
        </w:rPr>
      </w:pPr>
    </w:p>
    <w:p w14:paraId="6674B072" w14:textId="080649D1" w:rsidR="00DF79E1" w:rsidRPr="004F2656" w:rsidRDefault="00DF79E1" w:rsidP="00A94A5F">
      <w:pPr>
        <w:pStyle w:val="Heading1"/>
        <w:numPr>
          <w:ilvl w:val="0"/>
          <w:numId w:val="7"/>
        </w:numPr>
        <w:ind w:left="360"/>
      </w:pPr>
      <w:r w:rsidRPr="004F2656">
        <w:lastRenderedPageBreak/>
        <w:t>Narrative</w:t>
      </w:r>
    </w:p>
    <w:p w14:paraId="65E3CD32" w14:textId="1B2FBA30" w:rsidR="00DF79E1" w:rsidRPr="003F4D85" w:rsidRDefault="00DF79E1" w:rsidP="00A94A5F">
      <w:pPr>
        <w:pStyle w:val="ListParagraph"/>
        <w:numPr>
          <w:ilvl w:val="1"/>
          <w:numId w:val="7"/>
        </w:numPr>
        <w:ind w:left="720"/>
        <w:rPr>
          <w:i/>
          <w:iCs/>
        </w:rPr>
      </w:pPr>
      <w:r w:rsidRPr="003F4D85">
        <w:rPr>
          <w:i/>
          <w:iCs/>
        </w:rPr>
        <w:t>Describe</w:t>
      </w:r>
      <w:r w:rsidR="001B2107" w:rsidRPr="003F4D85">
        <w:rPr>
          <w:i/>
          <w:iCs/>
        </w:rPr>
        <w:t xml:space="preserve"> the key outcomes, </w:t>
      </w:r>
      <w:r w:rsidR="003E1BCB" w:rsidRPr="003F4D85">
        <w:rPr>
          <w:i/>
          <w:iCs/>
        </w:rPr>
        <w:t xml:space="preserve">whether </w:t>
      </w:r>
      <w:r w:rsidR="001B2107" w:rsidRPr="003F4D85">
        <w:rPr>
          <w:i/>
          <w:iCs/>
        </w:rPr>
        <w:t xml:space="preserve">positive, </w:t>
      </w:r>
      <w:r w:rsidRPr="003F4D85">
        <w:rPr>
          <w:i/>
          <w:iCs/>
        </w:rPr>
        <w:t>negative,</w:t>
      </w:r>
      <w:r w:rsidR="001B2107" w:rsidRPr="003F4D85">
        <w:rPr>
          <w:i/>
          <w:iCs/>
        </w:rPr>
        <w:t xml:space="preserve"> </w:t>
      </w:r>
      <w:r w:rsidR="003E1BCB" w:rsidRPr="003F4D85">
        <w:rPr>
          <w:i/>
          <w:iCs/>
        </w:rPr>
        <w:t>or</w:t>
      </w:r>
      <w:r w:rsidR="001B2107" w:rsidRPr="003F4D85">
        <w:rPr>
          <w:i/>
          <w:iCs/>
        </w:rPr>
        <w:t xml:space="preserve"> interesting,</w:t>
      </w:r>
      <w:r w:rsidRPr="003F4D85">
        <w:rPr>
          <w:i/>
          <w:iCs/>
        </w:rPr>
        <w:t xml:space="preserve"> of your project.  Include:</w:t>
      </w:r>
    </w:p>
    <w:p w14:paraId="38E42C53" w14:textId="10A4609E" w:rsidR="00DF79E1" w:rsidRPr="003F4D85" w:rsidRDefault="00DF79E1" w:rsidP="00A94A5F">
      <w:pPr>
        <w:pStyle w:val="ListParagraph"/>
        <w:numPr>
          <w:ilvl w:val="0"/>
          <w:numId w:val="2"/>
        </w:numPr>
        <w:rPr>
          <w:i/>
          <w:iCs/>
        </w:rPr>
      </w:pPr>
      <w:r w:rsidRPr="003F4D85">
        <w:rPr>
          <w:i/>
          <w:iCs/>
        </w:rPr>
        <w:t>Summary of your transformation experience, including challenges</w:t>
      </w:r>
      <w:r w:rsidR="00101A24" w:rsidRPr="003F4D85">
        <w:rPr>
          <w:i/>
          <w:iCs/>
        </w:rPr>
        <w:t xml:space="preserve"> and accomplishments</w:t>
      </w:r>
    </w:p>
    <w:p w14:paraId="6F43F3B1" w14:textId="04E82367" w:rsidR="00DF79E1" w:rsidRPr="003F4D85" w:rsidRDefault="00DF79E1" w:rsidP="00A94A5F">
      <w:pPr>
        <w:pStyle w:val="ListParagraph"/>
        <w:numPr>
          <w:ilvl w:val="0"/>
          <w:numId w:val="2"/>
        </w:numPr>
        <w:rPr>
          <w:i/>
          <w:iCs/>
        </w:rPr>
      </w:pPr>
      <w:r w:rsidRPr="003F4D85">
        <w:rPr>
          <w:i/>
          <w:iCs/>
        </w:rPr>
        <w:t>Transformative impacts on your instruction</w:t>
      </w:r>
    </w:p>
    <w:p w14:paraId="37A6611B" w14:textId="7846721D" w:rsidR="00DF79E1" w:rsidRPr="003F4D85" w:rsidRDefault="00DF79E1" w:rsidP="00A94A5F">
      <w:pPr>
        <w:pStyle w:val="ListParagraph"/>
        <w:numPr>
          <w:ilvl w:val="0"/>
          <w:numId w:val="2"/>
        </w:numPr>
        <w:rPr>
          <w:i/>
          <w:iCs/>
        </w:rPr>
      </w:pPr>
      <w:r w:rsidRPr="003F4D85">
        <w:rPr>
          <w:i/>
          <w:iCs/>
        </w:rPr>
        <w:t>Transformative impacts on your students and their performance</w:t>
      </w:r>
    </w:p>
    <w:p w14:paraId="0D1B3650" w14:textId="70B55AC9" w:rsidR="00101A24" w:rsidRDefault="00101A24" w:rsidP="00A94A5F">
      <w:pPr>
        <w:pStyle w:val="ListParagraph"/>
        <w:numPr>
          <w:ilvl w:val="1"/>
          <w:numId w:val="7"/>
        </w:numPr>
        <w:ind w:left="720"/>
        <w:rPr>
          <w:i/>
          <w:iCs/>
        </w:rPr>
      </w:pPr>
      <w:r w:rsidRPr="003F4D85">
        <w:rPr>
          <w:i/>
          <w:iCs/>
        </w:rPr>
        <w:t xml:space="preserve">Describe lessons learned, including any things you would do differently next time.  </w:t>
      </w:r>
    </w:p>
    <w:p w14:paraId="0BDAA92C" w14:textId="77777777" w:rsidR="00FA7C8E" w:rsidRDefault="00647915" w:rsidP="00A94A5F">
      <w:pPr>
        <w:pStyle w:val="ListParagraph"/>
        <w:numPr>
          <w:ilvl w:val="1"/>
          <w:numId w:val="7"/>
        </w:numPr>
        <w:ind w:left="720"/>
        <w:rPr>
          <w:i/>
          <w:iCs/>
        </w:rPr>
      </w:pPr>
      <w:r>
        <w:rPr>
          <w:i/>
          <w:iCs/>
        </w:rPr>
        <w:t>Describe any materials you created or revised/remixed that will be shared with the public. Include the</w:t>
      </w:r>
      <w:hyperlink r:id="rId11" w:history="1">
        <w:r w:rsidRPr="003C1B4D">
          <w:rPr>
            <w:rStyle w:val="Hyperlink"/>
            <w:i/>
            <w:iCs/>
          </w:rPr>
          <w:t xml:space="preserve"> open license your materials will be shared under</w:t>
        </w:r>
      </w:hyperlink>
      <w:r w:rsidR="003D0854">
        <w:rPr>
          <w:i/>
          <w:iCs/>
        </w:rPr>
        <w:t>—</w:t>
      </w:r>
      <w:r>
        <w:rPr>
          <w:i/>
          <w:iCs/>
        </w:rPr>
        <w:t>for most materials, this will be an Attribution 4.0 License (CC BY)</w:t>
      </w:r>
      <w:r w:rsidR="003C1B4D">
        <w:rPr>
          <w:i/>
          <w:iCs/>
        </w:rPr>
        <w:t xml:space="preserve"> as required in the Grants Request </w:t>
      </w:r>
      <w:r w:rsidR="00A77F21">
        <w:rPr>
          <w:i/>
          <w:iCs/>
        </w:rPr>
        <w:t>f</w:t>
      </w:r>
      <w:r w:rsidR="003C1B4D">
        <w:rPr>
          <w:i/>
          <w:iCs/>
        </w:rPr>
        <w:t>or Proposals.</w:t>
      </w:r>
    </w:p>
    <w:p w14:paraId="68D8B06A" w14:textId="77777777" w:rsidR="00217E8E" w:rsidRDefault="00217E8E" w:rsidP="00217E8E">
      <w:pPr>
        <w:rPr>
          <w:i/>
          <w:iCs/>
        </w:rPr>
      </w:pPr>
    </w:p>
    <w:p w14:paraId="2733A201" w14:textId="77777777" w:rsidR="00217E8E" w:rsidRPr="00217E8E" w:rsidRDefault="00217E8E" w:rsidP="00217E8E">
      <w:pPr>
        <w:rPr>
          <w:i/>
          <w:iCs/>
        </w:rPr>
      </w:pPr>
    </w:p>
    <w:p w14:paraId="104D273C" w14:textId="26F030D3" w:rsidR="00354244" w:rsidRPr="00B250E9" w:rsidRDefault="00354244" w:rsidP="00A94A5F">
      <w:pPr>
        <w:pStyle w:val="ListParagraph"/>
        <w:numPr>
          <w:ilvl w:val="0"/>
          <w:numId w:val="17"/>
        </w:numPr>
        <w:ind w:left="360" w:hanging="270"/>
        <w:rPr>
          <w:b/>
          <w:bCs/>
        </w:rPr>
      </w:pPr>
      <w:r w:rsidRPr="00B250E9">
        <w:rPr>
          <w:b/>
          <w:bCs/>
        </w:rPr>
        <w:t>INSTITUTIONAL IMPACT</w:t>
      </w:r>
    </w:p>
    <w:p w14:paraId="5D40D83D" w14:textId="77777777" w:rsidR="002A458C" w:rsidRDefault="002A458C" w:rsidP="00FA7C8E">
      <w:pPr>
        <w:rPr>
          <w:rFonts w:eastAsia="Google Sans Text"/>
        </w:rPr>
      </w:pPr>
    </w:p>
    <w:p w14:paraId="551DF99D" w14:textId="6055F33F" w:rsidR="00FA7C8E" w:rsidRPr="00220DC4" w:rsidRDefault="00FA7C8E" w:rsidP="00FA7C8E">
      <w:r w:rsidRPr="00FA7C8E">
        <w:rPr>
          <w:rFonts w:eastAsia="Google Sans Text"/>
        </w:rPr>
        <w:t>This comprehensive final report documents the successful execution and transformative impact of the Affordable Learning Georgia (ALG) Grant</w:t>
      </w:r>
      <w:r w:rsidR="00AB5D29">
        <w:t xml:space="preserve"> 740</w:t>
      </w:r>
      <w:r w:rsidRPr="00FA7C8E">
        <w:rPr>
          <w:rFonts w:eastAsia="Google Sans Text"/>
        </w:rPr>
        <w:t xml:space="preserve">, </w:t>
      </w:r>
      <w:r w:rsidRPr="00AB5D29">
        <w:rPr>
          <w:rFonts w:eastAsia="Google Sans Text"/>
        </w:rPr>
        <w:t>Round 26, implemented within the CM 3800: Construction Finance</w:t>
      </w:r>
      <w:r w:rsidRPr="00FA7C8E">
        <w:rPr>
          <w:rFonts w:eastAsia="Google Sans Text"/>
        </w:rPr>
        <w:t xml:space="preserve"> course at Kennesaw State University. The primary directive of this initiative was to address the dual challenges of educational affordability and pedagogical efficacy in a high-stakes, technical discipline. By replacing a high-cost commercial textbook with a curated suite of faculty-authored Open Educational Resources (OER) and interactive, gamified assessment </w:t>
      </w:r>
      <w:proofErr w:type="gramStart"/>
      <w:r w:rsidRPr="00FA7C8E">
        <w:rPr>
          <w:rFonts w:eastAsia="Google Sans Text"/>
        </w:rPr>
        <w:t>tool</w:t>
      </w:r>
      <w:proofErr w:type="gramEnd"/>
      <w:r w:rsidRPr="00FA7C8E">
        <w:rPr>
          <w:rFonts w:eastAsia="Google Sans Text"/>
        </w:rPr>
        <w:t>, the project successfully eliminated financial barriers for 133 students while simultaneously driving a measurable improvement in academic performance</w:t>
      </w:r>
      <w:r w:rsidR="003749C1">
        <w:t xml:space="preserve">. </w:t>
      </w:r>
    </w:p>
    <w:p w14:paraId="38C8C01B" w14:textId="77777777" w:rsidR="0015359D" w:rsidRDefault="0015359D" w:rsidP="00FA7C8E"/>
    <w:p w14:paraId="3FCFBC99" w14:textId="77777777" w:rsidR="007F42BA" w:rsidRDefault="00837AE2" w:rsidP="00FA7C8E">
      <w:r w:rsidRPr="00837AE2">
        <w:rPr>
          <w:rFonts w:eastAsia="Google Sans Text"/>
        </w:rPr>
        <w:t>The project was motivated by a critical analysis of student resource access, which revealed that the incumbent commercial text</w:t>
      </w:r>
      <w:r w:rsidR="00813D1D">
        <w:t xml:space="preserve">, </w:t>
      </w:r>
      <w:r w:rsidRPr="00837AE2">
        <w:rPr>
          <w:rFonts w:eastAsia="Google Sans Text"/>
        </w:rPr>
        <w:t>priced between $89.99 and $226.00</w:t>
      </w:r>
      <w:r w:rsidR="00813D1D">
        <w:t xml:space="preserve">, </w:t>
      </w:r>
      <w:r w:rsidRPr="00837AE2">
        <w:rPr>
          <w:rFonts w:eastAsia="Google Sans Text"/>
        </w:rPr>
        <w:t>posed a significant hurdle</w:t>
      </w:r>
      <w:r w:rsidR="007C1BD6">
        <w:rPr>
          <w:rFonts w:eastAsia="Google Sans Text"/>
        </w:rPr>
        <w:t>.</w:t>
      </w:r>
      <w:r w:rsidRPr="00837AE2">
        <w:rPr>
          <w:rFonts w:eastAsia="Google Sans Text"/>
        </w:rPr>
        <w:t xml:space="preserve"> In response, the project team developed robust educational modules</w:t>
      </w:r>
      <w:r w:rsidR="00D730F6">
        <w:t xml:space="preserve"> that </w:t>
      </w:r>
      <w:proofErr w:type="gramStart"/>
      <w:r w:rsidR="00D730F6">
        <w:t>addresses</w:t>
      </w:r>
      <w:proofErr w:type="gramEnd"/>
      <w:r w:rsidR="00D730F6">
        <w:t xml:space="preserve"> the course learning </w:t>
      </w:r>
      <w:r w:rsidR="008D2938">
        <w:t>outcomes for CM 3800</w:t>
      </w:r>
      <w:r w:rsidRPr="00837AE2">
        <w:rPr>
          <w:rFonts w:eastAsia="Google Sans Text"/>
        </w:rPr>
        <w:t xml:space="preserve">. These materials were designed not merely as textual replacements but as active learning instruments, integrating </w:t>
      </w:r>
      <w:r w:rsidR="006E28E9">
        <w:rPr>
          <w:rFonts w:eastAsia="Google Sans Text"/>
        </w:rPr>
        <w:t>practice exercise</w:t>
      </w:r>
      <w:r w:rsidR="00CF7B8C">
        <w:rPr>
          <w:rFonts w:eastAsia="Google Sans Text"/>
        </w:rPr>
        <w:t>s</w:t>
      </w:r>
      <w:r w:rsidR="006E28E9">
        <w:rPr>
          <w:rFonts w:eastAsia="Google Sans Text"/>
        </w:rPr>
        <w:t xml:space="preserve"> </w:t>
      </w:r>
      <w:r w:rsidR="00CF7B8C">
        <w:rPr>
          <w:rFonts w:eastAsia="Google Sans Text"/>
        </w:rPr>
        <w:t xml:space="preserve">that </w:t>
      </w:r>
      <w:r w:rsidRPr="00837AE2">
        <w:rPr>
          <w:rFonts w:eastAsia="Google Sans Text"/>
        </w:rPr>
        <w:t>mirror</w:t>
      </w:r>
      <w:r w:rsidR="00CF7B8C">
        <w:rPr>
          <w:rFonts w:eastAsia="Google Sans Text"/>
        </w:rPr>
        <w:t>ed</w:t>
      </w:r>
      <w:r w:rsidRPr="00837AE2">
        <w:rPr>
          <w:rFonts w:eastAsia="Google Sans Text"/>
        </w:rPr>
        <w:t xml:space="preserve"> the complexit</w:t>
      </w:r>
      <w:r w:rsidR="00CF7B8C">
        <w:rPr>
          <w:rFonts w:eastAsia="Google Sans Text"/>
        </w:rPr>
        <w:t xml:space="preserve">ies </w:t>
      </w:r>
      <w:r w:rsidRPr="00837AE2">
        <w:rPr>
          <w:rFonts w:eastAsia="Google Sans Text"/>
        </w:rPr>
        <w:t>of real-world construction management</w:t>
      </w:r>
      <w:r w:rsidR="00CF7B8C">
        <w:rPr>
          <w:rFonts w:eastAsia="Google Sans Text"/>
        </w:rPr>
        <w:t xml:space="preserve"> finance</w:t>
      </w:r>
      <w:r w:rsidR="008D2938">
        <w:t>.</w:t>
      </w:r>
    </w:p>
    <w:p w14:paraId="7FFAA585" w14:textId="77777777" w:rsidR="007F42BA" w:rsidRDefault="007F42BA" w:rsidP="00FA7C8E"/>
    <w:p w14:paraId="66A7FF18" w14:textId="0BBC883F" w:rsidR="007F42BA" w:rsidRPr="00F633E9" w:rsidRDefault="007F42BA" w:rsidP="007F42BA">
      <w:r w:rsidRPr="007F42BA">
        <w:t xml:space="preserve">The quantitative results of this transformation are profound. In the semesters following implementation (Summer and Fall 2025), the rate of students receiving a grade of 'D' plummeted from 5.33% (4 out of 75 students) in the pre-implementation phase to 1.50% (2 out of 133 students) post-implementation. This reduction in poor performance occurred despite a near-doubling of the student cohort, suggesting that the pedagogical intervention </w:t>
      </w:r>
      <w:proofErr w:type="gramStart"/>
      <w:r w:rsidRPr="007F42BA">
        <w:t>successfully</w:t>
      </w:r>
      <w:proofErr w:type="gramEnd"/>
      <w:r w:rsidRPr="007F42BA">
        <w:t xml:space="preserve"> scaled without diluting educational quality. Furthermore, the initiative generated immediate direct savings of $2</w:t>
      </w:r>
      <w:r w:rsidR="008D44A1" w:rsidRPr="00F633E9">
        <w:t>3</w:t>
      </w:r>
      <w:r w:rsidRPr="007F42BA">
        <w:t>,</w:t>
      </w:r>
      <w:r w:rsidR="00662D94" w:rsidRPr="00F633E9">
        <w:t>2</w:t>
      </w:r>
      <w:r w:rsidRPr="007F42BA">
        <w:t>7</w:t>
      </w:r>
      <w:r w:rsidR="00662D94" w:rsidRPr="00F633E9">
        <w:t>5</w:t>
      </w:r>
      <w:r w:rsidRPr="007F42BA">
        <w:t xml:space="preserve"> for the affected student body, with </w:t>
      </w:r>
      <w:proofErr w:type="gramStart"/>
      <w:r w:rsidRPr="007F42BA">
        <w:t>a projected</w:t>
      </w:r>
      <w:proofErr w:type="gramEnd"/>
      <w:r w:rsidRPr="007F42BA">
        <w:t xml:space="preserve"> annualized recurring savings of over $</w:t>
      </w:r>
      <w:r w:rsidR="00662D94" w:rsidRPr="00F633E9">
        <w:t>47, 250</w:t>
      </w:r>
      <w:r w:rsidRPr="007F42BA">
        <w:t>.</w:t>
      </w:r>
    </w:p>
    <w:p w14:paraId="1CB2C907" w14:textId="77777777" w:rsidR="00F633E9" w:rsidRPr="007F42BA" w:rsidRDefault="00F633E9" w:rsidP="007F42BA"/>
    <w:p w14:paraId="55F22B36" w14:textId="51C96149" w:rsidR="007F42BA" w:rsidRDefault="007F42BA" w:rsidP="007F42BA">
      <w:r w:rsidRPr="007F42BA">
        <w:t xml:space="preserve">Qualitative feedback underscores the success of the "gamified" Excel exercises, which utilized conditional formatting to provide immediate visual feedback (green/red indicators) on student calculations. This mechanism effectively bridged the gap between theoretical concepts and practical application, fostering a learning environment defined by </w:t>
      </w:r>
      <w:r w:rsidR="00C259A8">
        <w:t>success</w:t>
      </w:r>
      <w:r w:rsidRPr="007F42BA">
        <w:t xml:space="preserve"> and reduced anxiety.</w:t>
      </w:r>
    </w:p>
    <w:p w14:paraId="38117301" w14:textId="77777777" w:rsidR="00C259A8" w:rsidRPr="007F42BA" w:rsidRDefault="00C259A8" w:rsidP="007F42BA"/>
    <w:p w14:paraId="46709B3F" w14:textId="4DBCADDE" w:rsidR="007F42BA" w:rsidRPr="007F42BA" w:rsidRDefault="007F42BA" w:rsidP="007F42BA">
      <w:r w:rsidRPr="007F42BA">
        <w:lastRenderedPageBreak/>
        <w:t>This report offers an exhaustive detailed narrative of the transformation, analysis of the created technical materials, evaluation of the impact data, and a strategic roadmap for the sustainability of these resources within the Construction Management curriculum.</w:t>
      </w:r>
    </w:p>
    <w:p w14:paraId="618411D2" w14:textId="4D01C2ED" w:rsidR="006E28E9" w:rsidRDefault="008D2938" w:rsidP="00FA7C8E">
      <w:r>
        <w:t xml:space="preserve"> </w:t>
      </w:r>
    </w:p>
    <w:p w14:paraId="208E2205" w14:textId="6954B65F" w:rsidR="00022B69" w:rsidRPr="00B250E9" w:rsidRDefault="00354244" w:rsidP="00A94A5F">
      <w:pPr>
        <w:pStyle w:val="ListParagraph"/>
        <w:numPr>
          <w:ilvl w:val="0"/>
          <w:numId w:val="17"/>
        </w:numPr>
        <w:ind w:left="360"/>
        <w:rPr>
          <w:b/>
          <w:bCs/>
        </w:rPr>
      </w:pPr>
      <w:r w:rsidRPr="00B250E9">
        <w:rPr>
          <w:b/>
          <w:bCs/>
        </w:rPr>
        <w:t>LESSONS LEARNED</w:t>
      </w:r>
    </w:p>
    <w:p w14:paraId="497025EF" w14:textId="61D2F182" w:rsidR="00022B69" w:rsidRPr="00022B69" w:rsidRDefault="00022B69" w:rsidP="00022B69">
      <w:pPr>
        <w:spacing w:after="160" w:line="259" w:lineRule="auto"/>
        <w:rPr>
          <w:rFonts w:eastAsia="Google Sans Text"/>
        </w:rPr>
      </w:pPr>
      <w:r w:rsidRPr="00022B69">
        <w:rPr>
          <w:rFonts w:eastAsia="Google Sans Text"/>
        </w:rPr>
        <w:t>While the transformation was successful</w:t>
      </w:r>
      <w:r>
        <w:t xml:space="preserve"> and engaging</w:t>
      </w:r>
      <w:r w:rsidRPr="00022B69">
        <w:rPr>
          <w:rFonts w:eastAsia="Google Sans Text"/>
        </w:rPr>
        <w:t>, it revealed specific challenges that offer valuable lessons for future OER implementations in technical fields</w:t>
      </w:r>
      <w:r>
        <w:t>, such as construction finance</w:t>
      </w:r>
      <w:r w:rsidRPr="00022B69">
        <w:rPr>
          <w:rFonts w:eastAsia="Google Sans Text"/>
        </w:rPr>
        <w:t>.</w:t>
      </w:r>
    </w:p>
    <w:p w14:paraId="6E6C10F2" w14:textId="5F653632" w:rsidR="00022B69" w:rsidRPr="0050609A" w:rsidRDefault="00022B69" w:rsidP="00D53E64">
      <w:pPr>
        <w:spacing w:line="259" w:lineRule="auto"/>
        <w:rPr>
          <w:rFonts w:eastAsia="Google Sans"/>
          <w:b/>
          <w:bCs/>
          <w:i/>
          <w:iCs/>
        </w:rPr>
      </w:pPr>
      <w:r w:rsidRPr="0050609A">
        <w:rPr>
          <w:rFonts w:eastAsia="Google Sans"/>
          <w:b/>
          <w:bCs/>
          <w:i/>
          <w:iCs/>
        </w:rPr>
        <w:t>The "Mac vs. PC" Divide in Technical Education</w:t>
      </w:r>
    </w:p>
    <w:p w14:paraId="60AD4054" w14:textId="77777777" w:rsidR="00C65F51" w:rsidRDefault="00022B69" w:rsidP="00D53E64">
      <w:pPr>
        <w:spacing w:line="259" w:lineRule="auto"/>
        <w:rPr>
          <w:rFonts w:eastAsia="Google Sans Text"/>
        </w:rPr>
      </w:pPr>
      <w:r w:rsidRPr="00022B69">
        <w:rPr>
          <w:rFonts w:eastAsia="Google Sans Text"/>
        </w:rPr>
        <w:t>A significant technical hurdle arose regarding the compatibility of the Excel macros and conditional formatting between Windows and Mac operating systems.</w:t>
      </w:r>
      <w:r w:rsidR="0020665B">
        <w:rPr>
          <w:rFonts w:eastAsia="Google Sans Text"/>
        </w:rPr>
        <w:t xml:space="preserve"> </w:t>
      </w:r>
      <w:r w:rsidRPr="00022B69">
        <w:rPr>
          <w:rFonts w:eastAsia="Google Sans Text"/>
        </w:rPr>
        <w:t xml:space="preserve">Several students noted technical glitches. </w:t>
      </w:r>
      <w:r w:rsidRPr="00022B69">
        <w:rPr>
          <w:rFonts w:eastAsia="Google Sans Text"/>
          <w:i/>
          <w:iCs/>
        </w:rPr>
        <w:t xml:space="preserve">"Something was wrong with the excel file and it didn't upload to D2L from my </w:t>
      </w:r>
      <w:proofErr w:type="spellStart"/>
      <w:r w:rsidRPr="00022B69">
        <w:rPr>
          <w:rFonts w:eastAsia="Google Sans Text"/>
          <w:i/>
          <w:iCs/>
        </w:rPr>
        <w:t>Macbook</w:t>
      </w:r>
      <w:proofErr w:type="spellEnd"/>
      <w:r w:rsidRPr="00022B69">
        <w:rPr>
          <w:rFonts w:eastAsia="Google Sans Text"/>
          <w:i/>
          <w:iCs/>
        </w:rPr>
        <w:t>"</w:t>
      </w:r>
      <w:r w:rsidRPr="00022B69">
        <w:rPr>
          <w:rFonts w:eastAsia="Google Sans Text"/>
        </w:rPr>
        <w:t>. Technical literature confirms that Excel for Mac often lacks full support for the Visual Basic for Applications (VBA) code used to drive advanced interactive spreadsheets.</w:t>
      </w:r>
      <w:r w:rsidR="0020665B">
        <w:rPr>
          <w:rFonts w:eastAsia="Google Sans Text"/>
        </w:rPr>
        <w:t xml:space="preserve"> </w:t>
      </w:r>
      <w:r w:rsidRPr="00022B69">
        <w:rPr>
          <w:rFonts w:eastAsia="Google Sans Text"/>
        </w:rPr>
        <w:t>This created a temporary equity issue where Mac users (often a significant percentage of the student body) faced friction that PC users did not.</w:t>
      </w:r>
    </w:p>
    <w:p w14:paraId="591BF238" w14:textId="636E445F" w:rsidR="00E36DD8" w:rsidRDefault="00C65F51" w:rsidP="0050609A">
      <w:pPr>
        <w:spacing w:after="240" w:line="259" w:lineRule="auto"/>
        <w:rPr>
          <w:b/>
          <w:bCs/>
        </w:rPr>
      </w:pPr>
      <w:r>
        <w:rPr>
          <w:rFonts w:eastAsia="Google Sans Text"/>
        </w:rPr>
        <w:t>We have learned that “u</w:t>
      </w:r>
      <w:r w:rsidR="00E36DD8" w:rsidRPr="00E36DD8">
        <w:t xml:space="preserve">niversal </w:t>
      </w:r>
      <w:r w:rsidR="00E36DD8">
        <w:t>d</w:t>
      </w:r>
      <w:r w:rsidR="00E36DD8" w:rsidRPr="00E36DD8">
        <w:t>esign</w:t>
      </w:r>
      <w:r>
        <w:t>”</w:t>
      </w:r>
      <w:r w:rsidR="00E36DD8" w:rsidRPr="00E36DD8">
        <w:t xml:space="preserve"> in OER is technically demanding. </w:t>
      </w:r>
      <w:proofErr w:type="gramStart"/>
      <w:r w:rsidR="00E36DD8">
        <w:t>It is clear that f</w:t>
      </w:r>
      <w:r w:rsidR="00E36DD8" w:rsidRPr="00E36DD8">
        <w:t>uture</w:t>
      </w:r>
      <w:proofErr w:type="gramEnd"/>
      <w:r w:rsidR="00E36DD8" w:rsidRPr="00E36DD8">
        <w:t xml:space="preserve"> iterations of gamified tool must prioritize a </w:t>
      </w:r>
      <w:r w:rsidR="00E36DD8">
        <w:t>n</w:t>
      </w:r>
      <w:r w:rsidR="00E36DD8" w:rsidRPr="00E36DD8">
        <w:t xml:space="preserve">ative </w:t>
      </w:r>
      <w:r w:rsidR="00E36DD8">
        <w:t>e</w:t>
      </w:r>
      <w:r w:rsidR="00E36DD8" w:rsidRPr="00E36DD8">
        <w:t>xcel strategy to ensure platform independence. Rather than relying on external widgets like H5P or complex VBA scripting</w:t>
      </w:r>
      <w:r>
        <w:t>,</w:t>
      </w:r>
      <w:r w:rsidRPr="00E36DD8">
        <w:t xml:space="preserve"> </w:t>
      </w:r>
      <w:r w:rsidR="00E36DD8" w:rsidRPr="00E36DD8">
        <w:t>which creates a maintenance burden for the Principal Investigator (PI) and requires specialized programming knowledge</w:t>
      </w:r>
      <w:r w:rsidR="008B31D1">
        <w:t xml:space="preserve">, </w:t>
      </w:r>
      <w:r w:rsidR="00E36DD8" w:rsidRPr="00E36DD8">
        <w:t>we will utilize standard Excel functionality. By leveraging native logic functions (e.g., nested IF, VLOOKUP, INDEX/MATCH) and built-in Conditional Formatting, we can replicate the immediate feedback loop in a standard .xlsx file format. This approach eliminates the Mac/PC compatibility issues inherent in macros while keeping the development process accessible to faculty without requiring advanced coding skills</w:t>
      </w:r>
      <w:r w:rsidR="00E36DD8" w:rsidRPr="00E36DD8">
        <w:rPr>
          <w:b/>
          <w:bCs/>
        </w:rPr>
        <w:t>.</w:t>
      </w:r>
    </w:p>
    <w:p w14:paraId="057B59F9" w14:textId="641CC757" w:rsidR="00022B69" w:rsidRPr="0050609A" w:rsidRDefault="00022B69" w:rsidP="00D53E64">
      <w:pPr>
        <w:spacing w:line="259" w:lineRule="auto"/>
        <w:rPr>
          <w:rFonts w:eastAsia="Google Sans"/>
          <w:b/>
          <w:bCs/>
          <w:i/>
          <w:iCs/>
        </w:rPr>
      </w:pPr>
      <w:r w:rsidRPr="0050609A">
        <w:rPr>
          <w:rFonts w:eastAsia="Google Sans"/>
          <w:b/>
          <w:bCs/>
          <w:i/>
          <w:iCs/>
        </w:rPr>
        <w:t>The Pedagogical Challenge of "</w:t>
      </w:r>
      <w:r w:rsidR="00517E23" w:rsidRPr="0050609A">
        <w:rPr>
          <w:rFonts w:eastAsia="Google Sans"/>
          <w:b/>
          <w:bCs/>
          <w:i/>
          <w:iCs/>
        </w:rPr>
        <w:t>Too Much</w:t>
      </w:r>
      <w:r w:rsidRPr="0050609A">
        <w:rPr>
          <w:rFonts w:eastAsia="Google Sans"/>
          <w:b/>
          <w:bCs/>
          <w:i/>
          <w:iCs/>
        </w:rPr>
        <w:t xml:space="preserve"> Data"</w:t>
      </w:r>
    </w:p>
    <w:p w14:paraId="2AA9FD68" w14:textId="2EEAACF9" w:rsidR="00022B69" w:rsidRPr="00022B69" w:rsidRDefault="00022B69" w:rsidP="00D53E64">
      <w:pPr>
        <w:spacing w:line="259" w:lineRule="auto"/>
      </w:pPr>
      <w:r w:rsidRPr="00022B69">
        <w:rPr>
          <w:rFonts w:eastAsia="Google Sans Text"/>
        </w:rPr>
        <w:t>Some students initially struggled with the "</w:t>
      </w:r>
      <w:r w:rsidR="00426288">
        <w:rPr>
          <w:rFonts w:eastAsia="Google Sans Text"/>
        </w:rPr>
        <w:t xml:space="preserve">too much </w:t>
      </w:r>
      <w:r w:rsidRPr="00022B69">
        <w:rPr>
          <w:rFonts w:eastAsia="Google Sans Text"/>
        </w:rPr>
        <w:t>data" approach in the practice problems</w:t>
      </w:r>
      <w:r w:rsidR="00426288">
        <w:rPr>
          <w:rFonts w:eastAsia="Google Sans Text"/>
        </w:rPr>
        <w:t xml:space="preserve"> as </w:t>
      </w:r>
      <w:r w:rsidR="00C9295D">
        <w:rPr>
          <w:rFonts w:eastAsia="Google Sans Text"/>
        </w:rPr>
        <w:t xml:space="preserve">a student noted, </w:t>
      </w:r>
      <w:r w:rsidRPr="00022B69">
        <w:rPr>
          <w:rFonts w:eastAsia="Google Sans Text"/>
          <w:i/>
          <w:iCs/>
        </w:rPr>
        <w:t>"Some of the math at the end confused me as I thought it was incorrect, however that could have been my own misunderstanding."</w:t>
      </w:r>
      <w:r w:rsidRPr="00022B69">
        <w:rPr>
          <w:rFonts w:eastAsia="Google Sans Text"/>
        </w:rPr>
        <w:t>.</w:t>
      </w:r>
      <w:r w:rsidR="00C9295D">
        <w:rPr>
          <w:rFonts w:eastAsia="Google Sans Text"/>
        </w:rPr>
        <w:t xml:space="preserve"> </w:t>
      </w:r>
      <w:r w:rsidRPr="00022B69">
        <w:rPr>
          <w:rFonts w:eastAsia="Google Sans Text"/>
        </w:rPr>
        <w:t xml:space="preserve">This confusion stems from the fact that students are conditioned by years of standardized testing to use every number provided in a problem. When presented with the "Hair style" expense in the </w:t>
      </w:r>
      <w:r w:rsidR="00C839FC">
        <w:t>General o</w:t>
      </w:r>
      <w:r w:rsidRPr="00022B69">
        <w:rPr>
          <w:rFonts w:eastAsia="Google Sans Text"/>
        </w:rPr>
        <w:t>verhead module, some students tried to force it into the calculation.</w:t>
      </w:r>
    </w:p>
    <w:p w14:paraId="4D2C6BFC" w14:textId="34A2675F" w:rsidR="00022B69" w:rsidRDefault="00022B69" w:rsidP="0050609A">
      <w:pPr>
        <w:spacing w:after="240" w:line="259" w:lineRule="auto"/>
        <w:rPr>
          <w:rFonts w:eastAsia="Google Sans Text"/>
        </w:rPr>
      </w:pPr>
      <w:r w:rsidRPr="00022B69">
        <w:rPr>
          <w:rFonts w:eastAsia="Google Sans Text"/>
        </w:rPr>
        <w:t xml:space="preserve">This is not a failure of the material but a feature. It highlights the need for instructors to explicitly frame these assignments as exercises in </w:t>
      </w:r>
      <w:r w:rsidRPr="00022B69">
        <w:rPr>
          <w:rFonts w:eastAsia="Google Sans Text"/>
          <w:i/>
          <w:iCs/>
        </w:rPr>
        <w:t>judgment</w:t>
      </w:r>
      <w:r w:rsidRPr="00022B69">
        <w:rPr>
          <w:rFonts w:eastAsia="Google Sans Text"/>
        </w:rPr>
        <w:t xml:space="preserve"> and </w:t>
      </w:r>
      <w:r w:rsidRPr="00022B69">
        <w:rPr>
          <w:rFonts w:eastAsia="Google Sans Text"/>
          <w:i/>
          <w:iCs/>
        </w:rPr>
        <w:t>filtering</w:t>
      </w:r>
      <w:r w:rsidRPr="00022B69">
        <w:rPr>
          <w:rFonts w:eastAsia="Google Sans Text"/>
        </w:rPr>
        <w:t>, not just arithmetic. It validates the need for this type of realistic training</w:t>
      </w:r>
      <w:r w:rsidR="003303AD">
        <w:rPr>
          <w:rFonts w:eastAsia="Google Sans Text"/>
        </w:rPr>
        <w:t>.</w:t>
      </w:r>
    </w:p>
    <w:p w14:paraId="5513E3B6" w14:textId="387E14E9" w:rsidR="004E2338" w:rsidRDefault="004E2338" w:rsidP="00A94A5F">
      <w:pPr>
        <w:pStyle w:val="ListParagraph"/>
        <w:numPr>
          <w:ilvl w:val="0"/>
          <w:numId w:val="17"/>
        </w:numPr>
        <w:spacing w:line="259" w:lineRule="auto"/>
        <w:ind w:left="360"/>
        <w:rPr>
          <w:b/>
          <w:bCs/>
        </w:rPr>
      </w:pPr>
      <w:r w:rsidRPr="00ED7DA7">
        <w:rPr>
          <w:b/>
          <w:bCs/>
        </w:rPr>
        <w:t xml:space="preserve">OER </w:t>
      </w:r>
      <w:r w:rsidR="002D5B61">
        <w:rPr>
          <w:b/>
          <w:bCs/>
        </w:rPr>
        <w:t xml:space="preserve">for CM 3800: </w:t>
      </w:r>
      <w:r w:rsidRPr="00ED7DA7">
        <w:rPr>
          <w:b/>
          <w:bCs/>
        </w:rPr>
        <w:t>COURSE CONTENT</w:t>
      </w:r>
    </w:p>
    <w:p w14:paraId="5EC2D216" w14:textId="096AC6A4" w:rsidR="00AF6783" w:rsidRPr="00174EF2" w:rsidRDefault="00A56DAB" w:rsidP="00174EF2">
      <w:pPr>
        <w:pStyle w:val="NormalWeb"/>
        <w:shd w:val="clear" w:color="auto" w:fill="FFFFFF"/>
        <w:spacing w:before="0" w:beforeAutospacing="0" w:after="160" w:afterAutospacing="0" w:line="259" w:lineRule="auto"/>
        <w:rPr>
          <w:rFonts w:eastAsia="Google Sans Text"/>
        </w:rPr>
      </w:pPr>
      <w:r w:rsidRPr="00174EF2">
        <w:rPr>
          <w:rFonts w:eastAsia="Google Sans Text"/>
        </w:rPr>
        <w:t xml:space="preserve">The team started with the current syllabus for CM 3800 that explicitly outlined the course learning outcomes (CLOs: identified by the program) and student learning outcomes (SLOs: identified by the accreditation agency) for CM 3800.  </w:t>
      </w:r>
      <w:r w:rsidR="00AF6783" w:rsidRPr="00174EF2">
        <w:rPr>
          <w:rFonts w:eastAsia="Google Sans Text"/>
        </w:rPr>
        <w:t xml:space="preserve">After reviewing the course learning outcomes (CLOs), the team narrowed them down into specific keywords to streamline the search for relevant resources. This approach ensured each resource directly supported the course </w:t>
      </w:r>
      <w:r w:rsidR="00AF6783" w:rsidRPr="00174EF2">
        <w:rPr>
          <w:rFonts w:eastAsia="Google Sans Text"/>
        </w:rPr>
        <w:lastRenderedPageBreak/>
        <w:t>learning outcomes. To gather useful and reliable materials for this project, the team relied primarily on Galileo, which provided access to a wide variety of databases and hosts, including Academic Search Complete, ProQuest Central, EBSCO eBooks, Digital Library of Georgia, and Literary Reference Center Plus. The types of sources explored included eBooks, scholarly papers, articles, journals, and industry publications.</w:t>
      </w:r>
    </w:p>
    <w:p w14:paraId="73027287" w14:textId="77777777" w:rsidR="00AF6783" w:rsidRPr="009130D1" w:rsidRDefault="00AF6783" w:rsidP="00174EF2">
      <w:pPr>
        <w:pStyle w:val="NormalWeb"/>
        <w:shd w:val="clear" w:color="auto" w:fill="FFFFFF"/>
        <w:spacing w:before="0" w:beforeAutospacing="0" w:after="160" w:afterAutospacing="0" w:line="259" w:lineRule="auto"/>
        <w:rPr>
          <w:color w:val="1F1F1F"/>
        </w:rPr>
      </w:pPr>
      <w:r w:rsidRPr="00174EF2">
        <w:rPr>
          <w:color w:val="1F1F1F"/>
        </w:rPr>
        <w:t xml:space="preserve">Using keywords derived from the course learning outcomes, the team evaluated each resource to determine its relevance and alignment with the CLOs. While some materials were directly applicable, others were less relevant and required further review. Many of the materials were available for direct </w:t>
      </w:r>
      <w:r w:rsidRPr="009130D1">
        <w:rPr>
          <w:color w:val="1F1F1F"/>
        </w:rPr>
        <w:t>download, while others required third-party tools such as Adobe Digital Editions for viewing or allowed partial downloads, such as specific chapters. In cases where access was restricted, the KSU Interlibrary Loan (ILL) service was used to request the material.</w:t>
      </w:r>
    </w:p>
    <w:p w14:paraId="3FF08B65" w14:textId="77777777" w:rsidR="00AF6783" w:rsidRPr="00174EF2" w:rsidRDefault="00AF6783" w:rsidP="00174EF2">
      <w:pPr>
        <w:pStyle w:val="NormalWeb"/>
        <w:shd w:val="clear" w:color="auto" w:fill="FFFFFF"/>
        <w:spacing w:before="0" w:beforeAutospacing="0" w:after="160" w:afterAutospacing="0" w:line="259" w:lineRule="auto"/>
        <w:rPr>
          <w:color w:val="1F1F1F"/>
        </w:rPr>
      </w:pPr>
      <w:r w:rsidRPr="009130D1">
        <w:rPr>
          <w:color w:val="1F1F1F"/>
        </w:rPr>
        <w:t>The team also explored official government websites, such as IRS.gov and GovInfo.gov, to obtain accurate and up-to-date information. These sites were particularly helpful for topics related to taxes and employment benefits. Through web searches, the team also discovered other Open Educational Resource (OER) platforms like </w:t>
      </w:r>
      <w:proofErr w:type="gramStart"/>
      <w:r w:rsidRPr="009130D1">
        <w:rPr>
          <w:color w:val="1F1F1F"/>
        </w:rPr>
        <w:t>books.byui.edu</w:t>
      </w:r>
      <w:proofErr w:type="gramEnd"/>
      <w:r w:rsidRPr="009130D1">
        <w:rPr>
          <w:color w:val="1F1F1F"/>
        </w:rPr>
        <w:t>, which offers free textbooks and educational content. When deciding what to use, the focus was on the credibility of the source, how clearly it explained the topic, and how well it matched the CLOs. Priority was given to materials that were recent, tied to construction or finance topics, and published by trusted sources. For non-academic websites, the team double-checked</w:t>
      </w:r>
      <w:r w:rsidRPr="00174EF2">
        <w:rPr>
          <w:color w:val="1F1F1F"/>
        </w:rPr>
        <w:t xml:space="preserve"> the information by comparing it to more official or academic content.</w:t>
      </w:r>
    </w:p>
    <w:p w14:paraId="7D0C4922" w14:textId="77777777" w:rsidR="00197EDE" w:rsidRDefault="00AF6783" w:rsidP="00197EDE">
      <w:pPr>
        <w:pStyle w:val="NormalWeb"/>
        <w:shd w:val="clear" w:color="auto" w:fill="FFFFFF"/>
        <w:spacing w:before="0" w:beforeAutospacing="0" w:after="0" w:afterAutospacing="0" w:line="259" w:lineRule="auto"/>
        <w:rPr>
          <w:b/>
          <w:bCs/>
          <w:i/>
          <w:iCs/>
          <w:color w:val="1F1F1F"/>
        </w:rPr>
      </w:pPr>
      <w:r w:rsidRPr="00197EDE">
        <w:rPr>
          <w:b/>
          <w:bCs/>
          <w:i/>
          <w:iCs/>
          <w:color w:val="1F1F1F"/>
        </w:rPr>
        <w:t>Phase II: Material Creation and Gamification (Spring 2025)</w:t>
      </w:r>
    </w:p>
    <w:p w14:paraId="4C0E97E0" w14:textId="7144BB97" w:rsidR="00AF6783" w:rsidRDefault="00AF6783" w:rsidP="00197EDE">
      <w:pPr>
        <w:pStyle w:val="NormalWeb"/>
        <w:shd w:val="clear" w:color="auto" w:fill="FFFFFF"/>
        <w:spacing w:before="0" w:beforeAutospacing="0" w:after="0" w:afterAutospacing="0" w:line="259" w:lineRule="auto"/>
        <w:rPr>
          <w:color w:val="1F1F1F"/>
        </w:rPr>
      </w:pPr>
      <w:r w:rsidRPr="00174EF2">
        <w:rPr>
          <w:color w:val="1F1F1F"/>
        </w:rPr>
        <w:t>Following the curation process, the team adopted a creation-heavy strategy to fill gaps where OER specific to construction finance were unavailable.</w:t>
      </w:r>
      <w:r w:rsidR="007478EE" w:rsidRPr="00174EF2">
        <w:rPr>
          <w:color w:val="1F1F1F"/>
        </w:rPr>
        <w:t xml:space="preserve"> </w:t>
      </w:r>
      <w:r w:rsidRPr="00174EF2">
        <w:rPr>
          <w:color w:val="1F1F1F"/>
        </w:rPr>
        <w:t>Dr. Juneja</w:t>
      </w:r>
      <w:r w:rsidR="007478EE" w:rsidRPr="00174EF2">
        <w:rPr>
          <w:color w:val="1F1F1F"/>
        </w:rPr>
        <w:t xml:space="preserve"> </w:t>
      </w:r>
      <w:r w:rsidRPr="00174EF2">
        <w:rPr>
          <w:color w:val="1F1F1F"/>
        </w:rPr>
        <w:t>and Dr. Meadati authored three extensive learning modules</w:t>
      </w:r>
      <w:r w:rsidR="000554E9" w:rsidRPr="00174EF2">
        <w:rPr>
          <w:color w:val="1F1F1F"/>
        </w:rPr>
        <w:t xml:space="preserve">, discussed below, </w:t>
      </w:r>
      <w:r w:rsidRPr="00174EF2">
        <w:rPr>
          <w:color w:val="1F1F1F"/>
        </w:rPr>
        <w:t>that serve as the primary textbook for the course. These documents are detailed</w:t>
      </w:r>
      <w:r w:rsidR="00A03245" w:rsidRPr="00174EF2">
        <w:rPr>
          <w:color w:val="1F1F1F"/>
        </w:rPr>
        <w:t xml:space="preserve">, </w:t>
      </w:r>
      <w:r w:rsidRPr="00174EF2">
        <w:rPr>
          <w:color w:val="1F1F1F"/>
        </w:rPr>
        <w:t>technically rigorous and aligned with</w:t>
      </w:r>
      <w:r w:rsidR="002D5B61" w:rsidRPr="00174EF2">
        <w:rPr>
          <w:color w:val="1F1F1F"/>
        </w:rPr>
        <w:t xml:space="preserve"> </w:t>
      </w:r>
      <w:r w:rsidR="002D5B61" w:rsidRPr="00174EF2">
        <w:t>American Council for Construction Education</w:t>
      </w:r>
      <w:r w:rsidRPr="00174EF2">
        <w:rPr>
          <w:color w:val="1F1F1F"/>
        </w:rPr>
        <w:t xml:space="preserve"> </w:t>
      </w:r>
      <w:r w:rsidR="002D5B61" w:rsidRPr="00174EF2">
        <w:rPr>
          <w:color w:val="1F1F1F"/>
        </w:rPr>
        <w:t>(</w:t>
      </w:r>
      <w:r w:rsidRPr="00174EF2">
        <w:rPr>
          <w:color w:val="1F1F1F"/>
        </w:rPr>
        <w:t>ACCE</w:t>
      </w:r>
      <w:r w:rsidR="002D5B61" w:rsidRPr="00174EF2">
        <w:rPr>
          <w:color w:val="1F1F1F"/>
        </w:rPr>
        <w:t>)</w:t>
      </w:r>
      <w:r w:rsidRPr="00174EF2">
        <w:rPr>
          <w:color w:val="1F1F1F"/>
        </w:rPr>
        <w:t xml:space="preserve"> standards</w:t>
      </w:r>
      <w:r w:rsidR="007B2B55" w:rsidRPr="00174EF2">
        <w:rPr>
          <w:color w:val="1F1F1F"/>
        </w:rPr>
        <w:t xml:space="preserve">. </w:t>
      </w:r>
      <w:r w:rsidRPr="00174EF2">
        <w:rPr>
          <w:color w:val="1F1F1F"/>
        </w:rPr>
        <w:t xml:space="preserve">Simultaneously, the </w:t>
      </w:r>
      <w:r w:rsidR="007B2B55" w:rsidRPr="00174EF2">
        <w:rPr>
          <w:color w:val="1F1F1F"/>
        </w:rPr>
        <w:t>E</w:t>
      </w:r>
      <w:r w:rsidRPr="00174EF2">
        <w:rPr>
          <w:color w:val="1F1F1F"/>
        </w:rPr>
        <w:t xml:space="preserve">xcel </w:t>
      </w:r>
      <w:r w:rsidR="007B2B55" w:rsidRPr="00174EF2">
        <w:rPr>
          <w:color w:val="1F1F1F"/>
        </w:rPr>
        <w:t>g</w:t>
      </w:r>
      <w:r w:rsidRPr="00174EF2">
        <w:rPr>
          <w:color w:val="1F1F1F"/>
        </w:rPr>
        <w:t>ames were coded. This required significant technical effort to ensure that the logic layers (hidden formulas checking student work) were robust enough to handle valid variations in input while rejecting errors.</w:t>
      </w:r>
    </w:p>
    <w:p w14:paraId="016A6D67" w14:textId="77777777" w:rsidR="00197EDE" w:rsidRPr="00174EF2" w:rsidRDefault="00197EDE" w:rsidP="00197EDE">
      <w:pPr>
        <w:pStyle w:val="NormalWeb"/>
        <w:shd w:val="clear" w:color="auto" w:fill="FFFFFF"/>
        <w:spacing w:before="0" w:beforeAutospacing="0" w:after="0" w:afterAutospacing="0" w:line="259" w:lineRule="auto"/>
        <w:rPr>
          <w:color w:val="1F1F1F"/>
        </w:rPr>
      </w:pPr>
    </w:p>
    <w:p w14:paraId="12BE191B" w14:textId="6921AC4A" w:rsidR="00354244" w:rsidRPr="00354244" w:rsidRDefault="00354244" w:rsidP="00197EDE">
      <w:pPr>
        <w:spacing w:line="259" w:lineRule="auto"/>
        <w:rPr>
          <w:rFonts w:eastAsia="Google Sans"/>
          <w:b/>
          <w:bCs/>
        </w:rPr>
      </w:pPr>
      <w:r w:rsidRPr="00354244">
        <w:rPr>
          <w:rFonts w:eastAsia="Google Sans"/>
          <w:b/>
          <w:bCs/>
        </w:rPr>
        <w:t>Module 1: Construction Project Cash Flow</w:t>
      </w:r>
    </w:p>
    <w:p w14:paraId="21D5DBA1" w14:textId="729C6E27" w:rsidR="00354244" w:rsidRDefault="00354244" w:rsidP="00197EDE">
      <w:pPr>
        <w:spacing w:line="259" w:lineRule="auto"/>
        <w:rPr>
          <w:rFonts w:eastAsia="Google Sans Text"/>
        </w:rPr>
      </w:pPr>
      <w:r w:rsidRPr="00354244">
        <w:rPr>
          <w:rFonts w:eastAsia="Google Sans Text"/>
        </w:rPr>
        <w:t xml:space="preserve">The first module addresses the lifeblood of the construction industry: </w:t>
      </w:r>
      <w:r w:rsidR="00C70080">
        <w:t xml:space="preserve">Project </w:t>
      </w:r>
      <w:r w:rsidRPr="00354244">
        <w:rPr>
          <w:rFonts w:eastAsia="Google Sans Text"/>
        </w:rPr>
        <w:t>Cash Flow. It moves beyond basic accounting to address the specific contractual and temporal realities of a construction project.</w:t>
      </w:r>
    </w:p>
    <w:p w14:paraId="5DFC6C4B" w14:textId="77777777" w:rsidR="00EF08C8" w:rsidRDefault="00EF08C8" w:rsidP="00FC01DF">
      <w:pPr>
        <w:pStyle w:val="NormalWeb"/>
        <w:shd w:val="clear" w:color="auto" w:fill="FFFFFF"/>
        <w:spacing w:before="0" w:beforeAutospacing="0" w:after="0" w:afterAutospacing="0" w:line="259" w:lineRule="auto"/>
        <w:rPr>
          <w:rFonts w:eastAsia="Google Sans Text"/>
        </w:rPr>
      </w:pPr>
    </w:p>
    <w:p w14:paraId="52D9121B" w14:textId="20C5C3FC" w:rsidR="007526B7" w:rsidRDefault="007526B7" w:rsidP="00FC01DF">
      <w:pPr>
        <w:pStyle w:val="NormalWeb"/>
        <w:shd w:val="clear" w:color="auto" w:fill="FFFFFF"/>
        <w:spacing w:before="0" w:beforeAutospacing="0" w:after="0" w:afterAutospacing="0" w:line="259" w:lineRule="auto"/>
        <w:rPr>
          <w:rFonts w:eastAsia="Google Sans Text"/>
        </w:rPr>
      </w:pPr>
      <w:r w:rsidRPr="00FC01DF">
        <w:rPr>
          <w:rFonts w:eastAsia="Google Sans Text"/>
        </w:rPr>
        <w:t>The module integrates the project schedule with the budget to visualize how a delay in physical activity (e.g., "Foundation" in February) shifts financial outflow, teaching students that time is literally money. It also clearly differentiates between direct costs (materials, labor) and indirect costs (profit, overhead). A standout feature is the handling of </w:t>
      </w:r>
      <w:r w:rsidR="00520C67">
        <w:rPr>
          <w:rFonts w:eastAsia="Google Sans Text"/>
        </w:rPr>
        <w:t>r</w:t>
      </w:r>
      <w:r w:rsidRPr="00FC01DF">
        <w:rPr>
          <w:rFonts w:eastAsia="Google Sans Text"/>
        </w:rPr>
        <w:t>etainage and </w:t>
      </w:r>
      <w:r w:rsidR="00520C67">
        <w:rPr>
          <w:rFonts w:eastAsia="Google Sans Text"/>
        </w:rPr>
        <w:t>p</w:t>
      </w:r>
      <w:r w:rsidRPr="00FC01DF">
        <w:rPr>
          <w:rFonts w:eastAsia="Google Sans Text"/>
        </w:rPr>
        <w:t>ay-</w:t>
      </w:r>
      <w:r w:rsidR="00520C67">
        <w:rPr>
          <w:rFonts w:eastAsia="Google Sans Text"/>
        </w:rPr>
        <w:t>w</w:t>
      </w:r>
      <w:r w:rsidRPr="00FC01DF">
        <w:rPr>
          <w:rFonts w:eastAsia="Google Sans Text"/>
        </w:rPr>
        <w:t>hen-</w:t>
      </w:r>
      <w:r w:rsidR="00520C67">
        <w:rPr>
          <w:rFonts w:eastAsia="Google Sans Text"/>
        </w:rPr>
        <w:t>p</w:t>
      </w:r>
      <w:r w:rsidRPr="00FC01DF">
        <w:rPr>
          <w:rFonts w:eastAsia="Google Sans Text"/>
        </w:rPr>
        <w:t xml:space="preserve">aid clauses. The module uses a step-by-step calculation matrix to demonstrate how retention is </w:t>
      </w:r>
      <w:r w:rsidRPr="00FC01DF">
        <w:rPr>
          <w:rFonts w:eastAsia="Google Sans Text"/>
        </w:rPr>
        <w:lastRenderedPageBreak/>
        <w:t>calculated on billed amounts and how General Contractors use legal mechanisms to align cash outflows (to subs and suppliers) with inflows from owners.</w:t>
      </w:r>
    </w:p>
    <w:p w14:paraId="359E442B" w14:textId="77777777" w:rsidR="00520C67" w:rsidRPr="00FC01DF" w:rsidRDefault="00520C67" w:rsidP="00FC01DF">
      <w:pPr>
        <w:pStyle w:val="NormalWeb"/>
        <w:shd w:val="clear" w:color="auto" w:fill="FFFFFF"/>
        <w:spacing w:before="0" w:beforeAutospacing="0" w:after="0" w:afterAutospacing="0" w:line="259" w:lineRule="auto"/>
        <w:rPr>
          <w:rFonts w:eastAsia="Google Sans Text"/>
        </w:rPr>
      </w:pPr>
    </w:p>
    <w:p w14:paraId="6C9874BE" w14:textId="3042C118" w:rsidR="007526B7" w:rsidRPr="00FC01DF" w:rsidRDefault="007526B7" w:rsidP="00FC01DF">
      <w:pPr>
        <w:pStyle w:val="NormalWeb"/>
        <w:shd w:val="clear" w:color="auto" w:fill="FFFFFF"/>
        <w:spacing w:before="0" w:beforeAutospacing="0" w:after="0" w:afterAutospacing="0" w:line="259" w:lineRule="auto"/>
        <w:rPr>
          <w:rFonts w:eastAsia="Google Sans Text"/>
        </w:rPr>
      </w:pPr>
      <w:r w:rsidRPr="00FC01DF">
        <w:rPr>
          <w:rFonts w:eastAsia="Google Sans Text"/>
        </w:rPr>
        <w:t xml:space="preserve">The practice problem simulates a </w:t>
      </w:r>
      <w:r w:rsidR="00520C67">
        <w:rPr>
          <w:rFonts w:eastAsia="Google Sans Text"/>
        </w:rPr>
        <w:t>four</w:t>
      </w:r>
      <w:r w:rsidRPr="00FC01DF">
        <w:rPr>
          <w:rFonts w:eastAsia="Google Sans Text"/>
        </w:rPr>
        <w:t>-month project with varying payment terms. Students must build a cash flow projection that balances these disparate timelines to determine the </w:t>
      </w:r>
      <w:r w:rsidR="00B77413">
        <w:rPr>
          <w:rFonts w:eastAsia="Google Sans Text"/>
        </w:rPr>
        <w:t>m</w:t>
      </w:r>
      <w:r w:rsidRPr="00FC01DF">
        <w:rPr>
          <w:rFonts w:eastAsia="Google Sans Text"/>
        </w:rPr>
        <w:t xml:space="preserve">aximum </w:t>
      </w:r>
      <w:r w:rsidR="00B77413">
        <w:rPr>
          <w:rFonts w:eastAsia="Google Sans Text"/>
        </w:rPr>
        <w:t>c</w:t>
      </w:r>
      <w:r w:rsidRPr="00FC01DF">
        <w:rPr>
          <w:rFonts w:eastAsia="Google Sans Text"/>
        </w:rPr>
        <w:t xml:space="preserve">ash </w:t>
      </w:r>
      <w:r w:rsidR="00B77413">
        <w:rPr>
          <w:rFonts w:eastAsia="Google Sans Text"/>
        </w:rPr>
        <w:t>ne</w:t>
      </w:r>
      <w:r w:rsidRPr="00FC01DF">
        <w:rPr>
          <w:rFonts w:eastAsia="Google Sans Text"/>
        </w:rPr>
        <w:t>ed</w:t>
      </w:r>
      <w:r w:rsidR="00B77413">
        <w:rPr>
          <w:rFonts w:eastAsia="Google Sans Text"/>
        </w:rPr>
        <w:t>:</w:t>
      </w:r>
      <w:r w:rsidR="00B77413" w:rsidRPr="00FC01DF">
        <w:rPr>
          <w:rFonts w:eastAsia="Google Sans Text"/>
        </w:rPr>
        <w:t xml:space="preserve"> </w:t>
      </w:r>
      <w:r w:rsidRPr="00FC01DF">
        <w:rPr>
          <w:rFonts w:eastAsia="Google Sans Text"/>
        </w:rPr>
        <w:t>the peak negative cash flow that determines the company's financing requirements.</w:t>
      </w:r>
    </w:p>
    <w:p w14:paraId="0A648FDA" w14:textId="77777777" w:rsidR="00B77413" w:rsidRDefault="00B77413" w:rsidP="00FC01DF">
      <w:pPr>
        <w:spacing w:line="259" w:lineRule="auto"/>
        <w:rPr>
          <w:rFonts w:eastAsia="Google Sans"/>
          <w:b/>
          <w:bCs/>
        </w:rPr>
      </w:pPr>
    </w:p>
    <w:p w14:paraId="2272FE12" w14:textId="0BF67EA1" w:rsidR="00354244" w:rsidRPr="00354244" w:rsidRDefault="00354244" w:rsidP="00FC01DF">
      <w:pPr>
        <w:spacing w:line="259" w:lineRule="auto"/>
        <w:rPr>
          <w:rFonts w:eastAsia="Google Sans"/>
          <w:b/>
          <w:bCs/>
        </w:rPr>
      </w:pPr>
      <w:r w:rsidRPr="00354244">
        <w:rPr>
          <w:rFonts w:eastAsia="Google Sans"/>
          <w:b/>
          <w:bCs/>
        </w:rPr>
        <w:t>Module 2: The True Cost of an Employee (Labor Burden)</w:t>
      </w:r>
    </w:p>
    <w:p w14:paraId="70FEB242" w14:textId="721E1194" w:rsidR="00354244" w:rsidRDefault="00354244" w:rsidP="00FC01DF">
      <w:pPr>
        <w:spacing w:line="259" w:lineRule="auto"/>
        <w:rPr>
          <w:rFonts w:eastAsia="Google Sans Text"/>
        </w:rPr>
      </w:pPr>
      <w:r w:rsidRPr="00354244">
        <w:rPr>
          <w:rFonts w:eastAsia="Google Sans Text"/>
        </w:rPr>
        <w:t xml:space="preserve">Labor Burden is often the </w:t>
      </w:r>
      <w:proofErr w:type="gramStart"/>
      <w:r w:rsidRPr="00354244">
        <w:rPr>
          <w:rFonts w:eastAsia="Google Sans Text"/>
        </w:rPr>
        <w:t>most opaque</w:t>
      </w:r>
      <w:proofErr w:type="gramEnd"/>
      <w:r w:rsidRPr="00354244">
        <w:rPr>
          <w:rFonts w:eastAsia="Google Sans Text"/>
        </w:rPr>
        <w:t xml:space="preserve"> cost in construction. The second module was designed to demystify the difference between an employee's hourly wage and their total cost to the company.</w:t>
      </w:r>
      <w:r w:rsidR="00427BAF">
        <w:t xml:space="preserve"> </w:t>
      </w:r>
      <w:r w:rsidRPr="00354244">
        <w:rPr>
          <w:rFonts w:eastAsia="Google Sans Text"/>
        </w:rPr>
        <w:t>The practice problem for this module is a</w:t>
      </w:r>
      <w:r w:rsidR="00820EA3">
        <w:rPr>
          <w:rFonts w:eastAsia="Google Sans Text"/>
        </w:rPr>
        <w:t xml:space="preserve"> great example of noisy data </w:t>
      </w:r>
      <w:r w:rsidR="00723177">
        <w:rPr>
          <w:rFonts w:eastAsia="Google Sans Text"/>
        </w:rPr>
        <w:t>and real word complexities of calculating true cost of an employee.</w:t>
      </w:r>
      <w:r w:rsidRPr="00354244">
        <w:rPr>
          <w:rFonts w:eastAsia="Google Sans Text"/>
        </w:rPr>
        <w:t xml:space="preserve"> Th</w:t>
      </w:r>
      <w:r w:rsidR="00E17CFF">
        <w:rPr>
          <w:rFonts w:eastAsia="Google Sans Text"/>
        </w:rPr>
        <w:t>e</w:t>
      </w:r>
      <w:r w:rsidRPr="00354244">
        <w:rPr>
          <w:rFonts w:eastAsia="Google Sans Text"/>
        </w:rPr>
        <w:t xml:space="preserve"> exercise forces </w:t>
      </w:r>
      <w:r w:rsidR="00E17CFF">
        <w:rPr>
          <w:rFonts w:eastAsia="Google Sans Text"/>
        </w:rPr>
        <w:t xml:space="preserve">students to pay attention to fine details and </w:t>
      </w:r>
      <w:r w:rsidRPr="00354244">
        <w:rPr>
          <w:rFonts w:eastAsia="Google Sans Text"/>
        </w:rPr>
        <w:t xml:space="preserve">apply </w:t>
      </w:r>
      <w:proofErr w:type="gramStart"/>
      <w:r w:rsidRPr="00354244">
        <w:rPr>
          <w:rFonts w:eastAsia="Google Sans Text"/>
        </w:rPr>
        <w:t>logic</w:t>
      </w:r>
      <w:r w:rsidR="00E468E0">
        <w:rPr>
          <w:rFonts w:eastAsia="Google Sans Text"/>
        </w:rPr>
        <w:t>,</w:t>
      </w:r>
      <w:proofErr w:type="gramEnd"/>
      <w:r w:rsidR="00E468E0">
        <w:rPr>
          <w:rFonts w:eastAsia="Google Sans Text"/>
        </w:rPr>
        <w:t xml:space="preserve"> critical reasoning </w:t>
      </w:r>
      <w:r w:rsidRPr="00354244">
        <w:rPr>
          <w:rFonts w:eastAsia="Google Sans Text"/>
        </w:rPr>
        <w:t xml:space="preserve">rather than </w:t>
      </w:r>
      <w:r w:rsidR="00CA4AAD">
        <w:rPr>
          <w:rFonts w:eastAsia="Google Sans Text"/>
        </w:rPr>
        <w:t xml:space="preserve">simple </w:t>
      </w:r>
      <w:r w:rsidRPr="00354244">
        <w:rPr>
          <w:rFonts w:eastAsia="Google Sans Text"/>
        </w:rPr>
        <w:t xml:space="preserve">calculation. For instance, they must determine that the </w:t>
      </w:r>
      <w:r w:rsidR="00E468E0">
        <w:rPr>
          <w:rFonts w:eastAsia="Google Sans Text"/>
        </w:rPr>
        <w:t>r</w:t>
      </w:r>
      <w:r w:rsidRPr="00354244">
        <w:rPr>
          <w:rFonts w:eastAsia="Google Sans Text"/>
          <w:i/>
          <w:iCs/>
        </w:rPr>
        <w:t>eimbursement</w:t>
      </w:r>
      <w:r w:rsidRPr="00354244">
        <w:rPr>
          <w:rFonts w:eastAsia="Google Sans Text"/>
        </w:rPr>
        <w:t xml:space="preserve"> does not increase the tax basis, while the </w:t>
      </w:r>
      <w:r w:rsidR="00E468E0">
        <w:rPr>
          <w:rFonts w:eastAsia="Google Sans Text"/>
        </w:rPr>
        <w:t xml:space="preserve">allowance </w:t>
      </w:r>
      <w:r w:rsidRPr="00354244">
        <w:rPr>
          <w:rFonts w:eastAsia="Google Sans Text"/>
        </w:rPr>
        <w:t>does.</w:t>
      </w:r>
    </w:p>
    <w:p w14:paraId="75E06D43" w14:textId="77777777" w:rsidR="00C46710" w:rsidRPr="00354244" w:rsidRDefault="00C46710" w:rsidP="00FC01DF">
      <w:pPr>
        <w:spacing w:line="259" w:lineRule="auto"/>
      </w:pPr>
    </w:p>
    <w:p w14:paraId="760970A7" w14:textId="77777777" w:rsidR="00354244" w:rsidRPr="00354244" w:rsidRDefault="00354244" w:rsidP="00EF08C8">
      <w:pPr>
        <w:rPr>
          <w:rFonts w:eastAsia="Google Sans"/>
          <w:b/>
          <w:bCs/>
        </w:rPr>
      </w:pPr>
      <w:r w:rsidRPr="00354244">
        <w:rPr>
          <w:rFonts w:eastAsia="Google Sans"/>
          <w:b/>
          <w:bCs/>
        </w:rPr>
        <w:t>3.3 Module 3: General Overhead and Profitability</w:t>
      </w:r>
    </w:p>
    <w:p w14:paraId="03420022" w14:textId="03DAC508" w:rsidR="00532B08" w:rsidRPr="00532B08" w:rsidRDefault="00532B08" w:rsidP="00EF08C8">
      <w:r>
        <w:t>T</w:t>
      </w:r>
      <w:r w:rsidRPr="00532B08">
        <w:t xml:space="preserve">he final </w:t>
      </w:r>
      <w:r w:rsidR="00BE358C" w:rsidRPr="00532B08">
        <w:t>module focuses</w:t>
      </w:r>
      <w:r w:rsidRPr="00532B08">
        <w:t xml:space="preserve"> on the costs of running the business itself (General Overhead) versus the costs of building the project. This distinction is crucial for understanding the "General Overhead Ratio" (GOH) and its direct impact on a company's ability to remain solvent.   </w:t>
      </w:r>
    </w:p>
    <w:p w14:paraId="7CC2BD5F" w14:textId="77777777" w:rsidR="00BE358C" w:rsidRDefault="00BE358C" w:rsidP="00EF08C8"/>
    <w:p w14:paraId="2EA571DE" w14:textId="747D5816" w:rsidR="006D019F" w:rsidRPr="006D019F" w:rsidRDefault="00532B08" w:rsidP="00EF08C8">
      <w:pPr>
        <w:tabs>
          <w:tab w:val="num" w:pos="720"/>
        </w:tabs>
      </w:pPr>
      <w:r w:rsidRPr="00532B08">
        <w:t xml:space="preserve">The module </w:t>
      </w:r>
      <w:r w:rsidR="00BE358C">
        <w:t xml:space="preserve">further </w:t>
      </w:r>
      <w:r w:rsidRPr="00532B08">
        <w:t xml:space="preserve">introduces students to a comprehensive array of General Overhead expenses that are often overlooked by novice managers. Beyond standard items like rent and utilities, the curriculum covers complex categories </w:t>
      </w:r>
      <w:r w:rsidR="006D019F" w:rsidRPr="00532B08">
        <w:t>such as</w:t>
      </w:r>
      <w:r w:rsidR="006C51BE">
        <w:t xml:space="preserve"> u</w:t>
      </w:r>
      <w:r w:rsidRPr="00532B08">
        <w:t xml:space="preserve">nallocated </w:t>
      </w:r>
      <w:r w:rsidR="006C51BE">
        <w:t>l</w:t>
      </w:r>
      <w:r w:rsidRPr="00532B08">
        <w:t>abor</w:t>
      </w:r>
      <w:r w:rsidR="006C51BE" w:rsidRPr="006C51BE">
        <w:t>,</w:t>
      </w:r>
      <w:r w:rsidR="006C51BE">
        <w:t xml:space="preserve"> u</w:t>
      </w:r>
      <w:r w:rsidRPr="00532B08">
        <w:t xml:space="preserve">nallocated </w:t>
      </w:r>
      <w:r w:rsidR="006C51BE">
        <w:t>m</w:t>
      </w:r>
      <w:r w:rsidRPr="00532B08">
        <w:t>aterials</w:t>
      </w:r>
      <w:r w:rsidR="006C51BE" w:rsidRPr="006D019F">
        <w:t>, b</w:t>
      </w:r>
      <w:r w:rsidRPr="00532B08">
        <w:t xml:space="preserve">ad </w:t>
      </w:r>
      <w:r w:rsidR="006C51BE" w:rsidRPr="006D019F">
        <w:t>d</w:t>
      </w:r>
      <w:r w:rsidRPr="00532B08">
        <w:t>ebt</w:t>
      </w:r>
      <w:r w:rsidR="006C51BE" w:rsidRPr="006D019F">
        <w:t xml:space="preserve"> and more</w:t>
      </w:r>
      <w:r w:rsidRPr="00532B08">
        <w:t>.</w:t>
      </w:r>
      <w:r w:rsidR="006D019F" w:rsidRPr="006D019F">
        <w:t xml:space="preserve"> </w:t>
      </w:r>
      <w:r w:rsidRPr="00532B08">
        <w:t xml:space="preserve">A central pedagogical goal of this module is to shift students away from </w:t>
      </w:r>
      <w:r w:rsidR="006C51BE" w:rsidRPr="006D019F">
        <w:t>l</w:t>
      </w:r>
      <w:r w:rsidRPr="00532B08">
        <w:t xml:space="preserve">ump </w:t>
      </w:r>
      <w:r w:rsidR="006C51BE" w:rsidRPr="006D019F">
        <w:t>s</w:t>
      </w:r>
      <w:r w:rsidRPr="00532B08">
        <w:t>um estimation toward detailed line-item budgeting</w:t>
      </w:r>
      <w:r w:rsidR="006D019F" w:rsidRPr="006D019F">
        <w:t xml:space="preserve"> for general overhead.</w:t>
      </w:r>
    </w:p>
    <w:p w14:paraId="26A8FB4F" w14:textId="77777777" w:rsidR="006D019F" w:rsidRDefault="006D019F" w:rsidP="00532B08"/>
    <w:p w14:paraId="56D59A44" w14:textId="68803EA7" w:rsidR="00532B08" w:rsidRDefault="00532B08" w:rsidP="00532B08">
      <w:r w:rsidRPr="00532B08">
        <w:t xml:space="preserve">The practice problem for this module includes "intentionally erroneous and extraneous data points" to test critical thinking. </w:t>
      </w:r>
      <w:r w:rsidR="0002622B">
        <w:t xml:space="preserve"> </w:t>
      </w:r>
      <w:r w:rsidRPr="00532B08">
        <w:t>Students must filter this "noise" to calculate the true </w:t>
      </w:r>
      <w:r w:rsidR="0002622B">
        <w:t>net profit before and after taxes.</w:t>
      </w:r>
      <w:r w:rsidRPr="00532B08">
        <w:t xml:space="preserve"> This exercise explicitly addresses the </w:t>
      </w:r>
      <w:proofErr w:type="gramStart"/>
      <w:r w:rsidRPr="00532B08">
        <w:t>industry</w:t>
      </w:r>
      <w:proofErr w:type="gramEnd"/>
      <w:r w:rsidRPr="00532B08">
        <w:t xml:space="preserve"> need for </w:t>
      </w:r>
      <w:r w:rsidR="0002622B">
        <w:t>understanding profitability.</w:t>
      </w:r>
    </w:p>
    <w:p w14:paraId="15BB8254" w14:textId="77777777" w:rsidR="0002622B" w:rsidRDefault="0002622B" w:rsidP="00532B08"/>
    <w:p w14:paraId="15893B28" w14:textId="06B3AB4F" w:rsidR="00C13539" w:rsidRPr="00C46710" w:rsidRDefault="00C46710" w:rsidP="00EF08C8">
      <w:pPr>
        <w:rPr>
          <w:b/>
          <w:bCs/>
        </w:rPr>
      </w:pPr>
      <w:r w:rsidRPr="00C46710">
        <w:rPr>
          <w:b/>
          <w:bCs/>
        </w:rPr>
        <w:t xml:space="preserve">3.4 </w:t>
      </w:r>
      <w:r w:rsidR="00C0021D" w:rsidRPr="00C46710">
        <w:rPr>
          <w:b/>
          <w:bCs/>
        </w:rPr>
        <w:t>Creative common Licensing</w:t>
      </w:r>
    </w:p>
    <w:p w14:paraId="53704F84" w14:textId="6855D06B" w:rsidR="00436134" w:rsidRDefault="005B335C" w:rsidP="00EF08C8">
      <w:r>
        <w:t xml:space="preserve">The three modules are shared with ALG via public link that will </w:t>
      </w:r>
      <w:r w:rsidR="008D1871">
        <w:t xml:space="preserve">globalize the availability of the OER content created under this grant. The content is created under the </w:t>
      </w:r>
      <w:r w:rsidR="00436134">
        <w:t>following license:</w:t>
      </w:r>
    </w:p>
    <w:p w14:paraId="594A5B31" w14:textId="45BA8ACC" w:rsidR="00436134" w:rsidRDefault="00436134" w:rsidP="00EF08C8">
      <w:r>
        <w:t>“</w:t>
      </w:r>
      <w:r w:rsidRPr="00436134">
        <w:t>Creative Commons Attribution-</w:t>
      </w:r>
      <w:proofErr w:type="spellStart"/>
      <w:r w:rsidRPr="00436134">
        <w:t>NonCommercial</w:t>
      </w:r>
      <w:proofErr w:type="spellEnd"/>
      <w:r w:rsidRPr="00436134">
        <w:t>-</w:t>
      </w:r>
      <w:proofErr w:type="spellStart"/>
      <w:r w:rsidRPr="00436134">
        <w:t>NoDerivatives</w:t>
      </w:r>
      <w:proofErr w:type="spellEnd"/>
      <w:r w:rsidRPr="00436134">
        <w:t xml:space="preserve"> 4.0 International</w:t>
      </w:r>
      <w:r>
        <w:t>”</w:t>
      </w:r>
    </w:p>
    <w:p w14:paraId="149959AB" w14:textId="77777777" w:rsidR="00436134" w:rsidRPr="00436134" w:rsidRDefault="00436134" w:rsidP="00436134">
      <w:r w:rsidRPr="00436134">
        <w:t>https://creativecommons.org/licenses/by-nc-nd/4.0/</w:t>
      </w:r>
    </w:p>
    <w:p w14:paraId="34BE52AA" w14:textId="5A11BA0E" w:rsidR="0002622B" w:rsidRPr="00532B08" w:rsidRDefault="008D1871" w:rsidP="00532B08">
      <w:r>
        <w:t xml:space="preserve"> </w:t>
      </w:r>
    </w:p>
    <w:p w14:paraId="5B8BFFFD" w14:textId="77777777" w:rsidR="00532B08" w:rsidRPr="00532B08" w:rsidRDefault="00000000" w:rsidP="00532B08">
      <w:r>
        <w:rPr>
          <w:noProof/>
        </w:rPr>
        <w:pict w14:anchorId="7F83EDAD">
          <v:rect id="_x0000_i1025" alt="" style="width:468pt;height:.05pt;mso-width-percent:0;mso-height-percent:0;mso-width-percent:0;mso-height-percent:0" o:hralign="center" o:hrstd="t" o:hr="t" fillcolor="#a0a0a0" stroked="f"/>
        </w:pict>
      </w:r>
    </w:p>
    <w:p w14:paraId="24E86C39" w14:textId="77777777" w:rsidR="00532B08" w:rsidRDefault="00532B08" w:rsidP="00532B08"/>
    <w:p w14:paraId="58D1503F" w14:textId="77777777" w:rsidR="00C96A37" w:rsidRDefault="00C96A37" w:rsidP="00532B08"/>
    <w:p w14:paraId="37548FD8" w14:textId="77777777" w:rsidR="00C96A37" w:rsidRDefault="00C96A37" w:rsidP="00532B08"/>
    <w:p w14:paraId="40154FA6" w14:textId="77777777" w:rsidR="00C96A37" w:rsidRDefault="00C96A37" w:rsidP="00532B08"/>
    <w:p w14:paraId="0DA7BF2B" w14:textId="77777777" w:rsidR="00C96A37" w:rsidRPr="00532B08" w:rsidRDefault="00C96A37" w:rsidP="00532B08"/>
    <w:p w14:paraId="6E7CF058" w14:textId="6E4F04DE" w:rsidR="00101A24" w:rsidRPr="004F2656" w:rsidRDefault="00436134" w:rsidP="00A94A5F">
      <w:pPr>
        <w:pStyle w:val="Heading1"/>
        <w:numPr>
          <w:ilvl w:val="0"/>
          <w:numId w:val="7"/>
        </w:numPr>
        <w:ind w:left="360"/>
      </w:pPr>
      <w:r>
        <w:lastRenderedPageBreak/>
        <w:t>Q</w:t>
      </w:r>
      <w:r w:rsidR="00101A24" w:rsidRPr="004F2656">
        <w:t>uotes</w:t>
      </w:r>
    </w:p>
    <w:p w14:paraId="6B019FC3" w14:textId="679C09B2" w:rsidR="004F2656" w:rsidRDefault="00101A24" w:rsidP="003F4D85">
      <w:pPr>
        <w:ind w:left="360"/>
        <w:rPr>
          <w:i/>
          <w:iCs/>
        </w:rPr>
      </w:pPr>
      <w:r w:rsidRPr="003F4D85">
        <w:rPr>
          <w:i/>
          <w:iCs/>
        </w:rPr>
        <w:t xml:space="preserve">Provide three quotes from students </w:t>
      </w:r>
      <w:r w:rsidR="003E1BCB" w:rsidRPr="003F4D85">
        <w:rPr>
          <w:i/>
          <w:iCs/>
        </w:rPr>
        <w:t>evaluating their</w:t>
      </w:r>
      <w:r w:rsidRPr="003F4D85">
        <w:rPr>
          <w:i/>
          <w:iCs/>
        </w:rPr>
        <w:t xml:space="preserve"> </w:t>
      </w:r>
      <w:r w:rsidR="003E1BCB" w:rsidRPr="003F4D85">
        <w:rPr>
          <w:i/>
          <w:iCs/>
        </w:rPr>
        <w:t xml:space="preserve">experience with </w:t>
      </w:r>
      <w:r w:rsidRPr="003F4D85">
        <w:rPr>
          <w:i/>
          <w:iCs/>
        </w:rPr>
        <w:t xml:space="preserve">the no-cost </w:t>
      </w:r>
      <w:r w:rsidR="003E1BCB" w:rsidRPr="003F4D85">
        <w:rPr>
          <w:i/>
          <w:iCs/>
        </w:rPr>
        <w:t>learning materials</w:t>
      </w:r>
      <w:r w:rsidRPr="003F4D85">
        <w:rPr>
          <w:i/>
          <w:iCs/>
        </w:rPr>
        <w:t>.</w:t>
      </w:r>
    </w:p>
    <w:p w14:paraId="47B06DC1" w14:textId="77777777" w:rsidR="00436134" w:rsidRDefault="00436134" w:rsidP="003F4D85">
      <w:pPr>
        <w:ind w:left="360"/>
      </w:pPr>
    </w:p>
    <w:p w14:paraId="7E5E6030" w14:textId="3B21BF67" w:rsidR="007B11F9" w:rsidRPr="001D78BD" w:rsidRDefault="007B11F9" w:rsidP="003F4D85">
      <w:pPr>
        <w:ind w:left="360"/>
      </w:pPr>
      <w:r w:rsidRPr="001D78BD">
        <w:t xml:space="preserve">A few </w:t>
      </w:r>
      <w:r w:rsidR="009134AD">
        <w:t xml:space="preserve">quotes from the two surveys </w:t>
      </w:r>
      <w:r w:rsidR="00F319B6">
        <w:t>“</w:t>
      </w:r>
      <w:r w:rsidRPr="001D78BD">
        <w:t xml:space="preserve">textbook vs. </w:t>
      </w:r>
      <w:r w:rsidR="001D78BD" w:rsidRPr="001D78BD">
        <w:t>OER</w:t>
      </w:r>
      <w:r w:rsidR="00F319B6">
        <w:t>”</w:t>
      </w:r>
      <w:r w:rsidR="001D78BD" w:rsidRPr="001D78BD">
        <w:t xml:space="preserve"> and </w:t>
      </w:r>
      <w:r w:rsidR="00F319B6">
        <w:t>“</w:t>
      </w:r>
      <w:r w:rsidR="001D78BD" w:rsidRPr="001D78BD">
        <w:t>excel game</w:t>
      </w:r>
      <w:r w:rsidR="00F319B6">
        <w:t>”</w:t>
      </w:r>
      <w:r w:rsidR="001D78BD" w:rsidRPr="001D78BD">
        <w:t xml:space="preserve"> are copied below.</w:t>
      </w:r>
    </w:p>
    <w:p w14:paraId="017DB9BC" w14:textId="77777777" w:rsidR="00912345" w:rsidRDefault="00912345" w:rsidP="00EA0B43">
      <w:pPr>
        <w:spacing w:after="160" w:line="259" w:lineRule="auto"/>
        <w:ind w:left="360"/>
        <w:rPr>
          <w:i/>
          <w:iCs/>
        </w:rPr>
      </w:pPr>
    </w:p>
    <w:p w14:paraId="35D7E111" w14:textId="4D56440E" w:rsidR="00EA0B43" w:rsidRPr="00EA0B43" w:rsidRDefault="00EA0B43" w:rsidP="00EA0B43">
      <w:pPr>
        <w:spacing w:after="160" w:line="259" w:lineRule="auto"/>
        <w:ind w:left="360"/>
      </w:pPr>
      <w:r w:rsidRPr="00EA0B43">
        <w:rPr>
          <w:i/>
          <w:iCs/>
        </w:rPr>
        <w:t>"No, when a professor teaches the material well and provides supporting resources like Dr. Pammy does then the textbook is unnecessary."</w:t>
      </w:r>
      <w:r w:rsidRPr="00EA0B43">
        <w:t> — Student Survey    </w:t>
      </w:r>
    </w:p>
    <w:p w14:paraId="35E22BA2" w14:textId="77777777" w:rsidR="00EA0B43" w:rsidRPr="00EA0B43" w:rsidRDefault="00EA0B43" w:rsidP="00EA0B43">
      <w:pPr>
        <w:spacing w:after="160" w:line="259" w:lineRule="auto"/>
        <w:ind w:left="360"/>
      </w:pPr>
      <w:r w:rsidRPr="00EA0B43">
        <w:rPr>
          <w:i/>
          <w:iCs/>
        </w:rPr>
        <w:t>"No. Our professor is way too thorough to need a textbook."</w:t>
      </w:r>
      <w:r w:rsidRPr="00EA0B43">
        <w:t> — Student Survey    </w:t>
      </w:r>
    </w:p>
    <w:p w14:paraId="40B0B341" w14:textId="77777777" w:rsidR="00EA0B43" w:rsidRPr="00EA0B43" w:rsidRDefault="00EA0B43" w:rsidP="00EA0B43">
      <w:pPr>
        <w:spacing w:after="160" w:line="259" w:lineRule="auto"/>
        <w:ind w:left="360"/>
      </w:pPr>
      <w:r w:rsidRPr="00EA0B43">
        <w:rPr>
          <w:i/>
          <w:iCs/>
        </w:rPr>
        <w:t xml:space="preserve">"The Excel game provided </w:t>
      </w:r>
      <w:proofErr w:type="gramStart"/>
      <w:r w:rsidRPr="00EA0B43">
        <w:rPr>
          <w:i/>
          <w:iCs/>
        </w:rPr>
        <w:t>me</w:t>
      </w:r>
      <w:proofErr w:type="gramEnd"/>
      <w:r w:rsidRPr="00EA0B43">
        <w:rPr>
          <w:i/>
          <w:iCs/>
        </w:rPr>
        <w:t xml:space="preserve"> the ability to process the information in a backwards and forward manner, which helped conceptualize the material. I found it very helpful!"</w:t>
      </w:r>
      <w:r w:rsidRPr="00EA0B43">
        <w:t> — Student Survey    </w:t>
      </w:r>
    </w:p>
    <w:p w14:paraId="16871200" w14:textId="77777777" w:rsidR="00EA0B43" w:rsidRPr="00EA0B43" w:rsidRDefault="00EA0B43" w:rsidP="00EA0B43">
      <w:pPr>
        <w:spacing w:after="160" w:line="259" w:lineRule="auto"/>
        <w:ind w:left="360"/>
      </w:pPr>
      <w:r w:rsidRPr="00EA0B43">
        <w:rPr>
          <w:i/>
          <w:iCs/>
        </w:rPr>
        <w:t>"</w:t>
      </w:r>
      <w:proofErr w:type="gramStart"/>
      <w:r w:rsidRPr="00EA0B43">
        <w:rPr>
          <w:i/>
          <w:iCs/>
        </w:rPr>
        <w:t>No</w:t>
      </w:r>
      <w:proofErr w:type="gramEnd"/>
      <w:r w:rsidRPr="00EA0B43">
        <w:rPr>
          <w:i/>
          <w:iCs/>
        </w:rPr>
        <w:t xml:space="preserve"> it was </w:t>
      </w:r>
      <w:proofErr w:type="gramStart"/>
      <w:r w:rsidRPr="00EA0B43">
        <w:rPr>
          <w:i/>
          <w:iCs/>
        </w:rPr>
        <w:t>a perfect way</w:t>
      </w:r>
      <w:proofErr w:type="gramEnd"/>
      <w:r w:rsidRPr="00EA0B43">
        <w:rPr>
          <w:i/>
          <w:iCs/>
        </w:rPr>
        <w:t xml:space="preserve"> as </w:t>
      </w:r>
      <w:proofErr w:type="spellStart"/>
      <w:r w:rsidRPr="00EA0B43">
        <w:rPr>
          <w:i/>
          <w:iCs/>
        </w:rPr>
        <w:t>perviously</w:t>
      </w:r>
      <w:proofErr w:type="spellEnd"/>
      <w:r w:rsidRPr="00EA0B43">
        <w:rPr>
          <w:i/>
          <w:iCs/>
        </w:rPr>
        <w:t xml:space="preserve"> assignments I didn't perform well but after the excel I understood the work much better."</w:t>
      </w:r>
      <w:r w:rsidRPr="00EA0B43">
        <w:t> — Student Survey    </w:t>
      </w:r>
    </w:p>
    <w:p w14:paraId="56CA4066" w14:textId="77777777" w:rsidR="00EA0B43" w:rsidRPr="00EA0B43" w:rsidRDefault="00EA0B43" w:rsidP="00EA0B43">
      <w:pPr>
        <w:spacing w:after="160" w:line="259" w:lineRule="auto"/>
        <w:ind w:left="360"/>
      </w:pPr>
      <w:r w:rsidRPr="00EA0B43">
        <w:rPr>
          <w:i/>
          <w:iCs/>
        </w:rPr>
        <w:t>"I really liked the excel games. They helped me understand the concept more because I was able to work on it and think through how cash flow works. The only thing that I would make a comment on would be to use the last cash flow assignment as the first one instead because to me at least the third one was the easiest and showed you how the process worked."</w:t>
      </w:r>
      <w:r w:rsidRPr="00EA0B43">
        <w:t> — Student Survey    </w:t>
      </w:r>
    </w:p>
    <w:p w14:paraId="28155DF3" w14:textId="77777777" w:rsidR="00EA0B43" w:rsidRPr="00EA0B43" w:rsidRDefault="00EA0B43" w:rsidP="00EA0B43">
      <w:pPr>
        <w:spacing w:after="160" w:line="259" w:lineRule="auto"/>
        <w:ind w:left="360"/>
      </w:pPr>
      <w:r w:rsidRPr="00EA0B43">
        <w:rPr>
          <w:i/>
          <w:iCs/>
        </w:rPr>
        <w:t xml:space="preserve">"I like the game and I </w:t>
      </w:r>
      <w:proofErr w:type="gramStart"/>
      <w:r w:rsidRPr="00EA0B43">
        <w:rPr>
          <w:i/>
          <w:iCs/>
        </w:rPr>
        <w:t>liked</w:t>
      </w:r>
      <w:proofErr w:type="gramEnd"/>
      <w:r w:rsidRPr="00EA0B43">
        <w:rPr>
          <w:i/>
          <w:iCs/>
        </w:rPr>
        <w:t xml:space="preserve"> that it was color coded, so it was easy to know if you made a miscalculation. I don't have any suggestions for improvement. I enjoyed the assignment, and it was very straight forward."</w:t>
      </w:r>
      <w:r w:rsidRPr="00EA0B43">
        <w:t> — Student Survey    </w:t>
      </w:r>
    </w:p>
    <w:p w14:paraId="56C20566" w14:textId="77777777" w:rsidR="00EA0B43" w:rsidRDefault="00EA0B43" w:rsidP="00EA0B43">
      <w:pPr>
        <w:spacing w:after="160" w:line="259" w:lineRule="auto"/>
        <w:ind w:left="360"/>
      </w:pPr>
      <w:r w:rsidRPr="00EA0B43">
        <w:rPr>
          <w:i/>
          <w:iCs/>
        </w:rPr>
        <w:t xml:space="preserve">"Regardless of the price of the book, Dr. Pammy provides us with detailed information in her lectures, </w:t>
      </w:r>
      <w:proofErr w:type="gramStart"/>
      <w:r w:rsidRPr="00EA0B43">
        <w:rPr>
          <w:i/>
          <w:iCs/>
        </w:rPr>
        <w:t>and i</w:t>
      </w:r>
      <w:proofErr w:type="gramEnd"/>
      <w:r w:rsidRPr="00EA0B43">
        <w:rPr>
          <w:i/>
          <w:iCs/>
        </w:rPr>
        <w:t xml:space="preserve"> wouldn't obtain it because attending the lectures and taking notes is sufficient."</w:t>
      </w:r>
      <w:r w:rsidRPr="00EA0B43">
        <w:t> — Student Survey </w:t>
      </w:r>
    </w:p>
    <w:p w14:paraId="5D265721" w14:textId="77777777" w:rsidR="00C96A37" w:rsidRDefault="00C96A37" w:rsidP="00EA0B43">
      <w:pPr>
        <w:spacing w:after="160" w:line="259" w:lineRule="auto"/>
        <w:ind w:left="360"/>
      </w:pPr>
    </w:p>
    <w:p w14:paraId="6F70E0CE" w14:textId="77777777" w:rsidR="00C96A37" w:rsidRDefault="00C96A37" w:rsidP="00EA0B43">
      <w:pPr>
        <w:spacing w:after="160" w:line="259" w:lineRule="auto"/>
        <w:ind w:left="360"/>
      </w:pPr>
    </w:p>
    <w:p w14:paraId="70BF43E5" w14:textId="77777777" w:rsidR="00C96A37" w:rsidRDefault="00C96A37" w:rsidP="00EA0B43">
      <w:pPr>
        <w:spacing w:after="160" w:line="259" w:lineRule="auto"/>
        <w:ind w:left="360"/>
      </w:pPr>
    </w:p>
    <w:p w14:paraId="394E185B" w14:textId="77777777" w:rsidR="00C96A37" w:rsidRDefault="00C96A37" w:rsidP="00EA0B43">
      <w:pPr>
        <w:spacing w:after="160" w:line="259" w:lineRule="auto"/>
        <w:ind w:left="360"/>
      </w:pPr>
    </w:p>
    <w:p w14:paraId="6E4B03BA" w14:textId="77777777" w:rsidR="00C96A37" w:rsidRDefault="00C96A37" w:rsidP="00EA0B43">
      <w:pPr>
        <w:spacing w:after="160" w:line="259" w:lineRule="auto"/>
        <w:ind w:left="360"/>
      </w:pPr>
    </w:p>
    <w:p w14:paraId="3F6270E3" w14:textId="77777777" w:rsidR="00C96A37" w:rsidRDefault="00C96A37" w:rsidP="00EA0B43">
      <w:pPr>
        <w:spacing w:after="160" w:line="259" w:lineRule="auto"/>
        <w:ind w:left="360"/>
      </w:pPr>
    </w:p>
    <w:p w14:paraId="6FD3C61A" w14:textId="77777777" w:rsidR="00C96A37" w:rsidRDefault="00C96A37" w:rsidP="00EA0B43">
      <w:pPr>
        <w:spacing w:after="160" w:line="259" w:lineRule="auto"/>
        <w:ind w:left="360"/>
      </w:pPr>
    </w:p>
    <w:p w14:paraId="50FDCD05" w14:textId="77777777" w:rsidR="00C96A37" w:rsidRPr="00EA0B43" w:rsidRDefault="00C96A37" w:rsidP="00EA0B43">
      <w:pPr>
        <w:spacing w:after="160" w:line="259" w:lineRule="auto"/>
        <w:ind w:left="360"/>
      </w:pPr>
    </w:p>
    <w:p w14:paraId="2569A2E6" w14:textId="613FDB49" w:rsidR="00B90CC8" w:rsidRPr="00B90CC8" w:rsidRDefault="00F70B70" w:rsidP="00A94A5F">
      <w:pPr>
        <w:pStyle w:val="Heading1"/>
        <w:numPr>
          <w:ilvl w:val="0"/>
          <w:numId w:val="7"/>
        </w:numPr>
        <w:ind w:left="360"/>
      </w:pPr>
      <w:r w:rsidRPr="004F2656">
        <w:lastRenderedPageBreak/>
        <w:t>Quantitative and Qualitative Measures</w:t>
      </w:r>
    </w:p>
    <w:p w14:paraId="62F72596" w14:textId="5390A69F" w:rsidR="00B90CC8" w:rsidRDefault="0033401E" w:rsidP="00A94A5F">
      <w:pPr>
        <w:pStyle w:val="Heading2"/>
        <w:numPr>
          <w:ilvl w:val="1"/>
          <w:numId w:val="7"/>
        </w:numPr>
        <w:ind w:left="720"/>
      </w:pPr>
      <w:r>
        <w:t xml:space="preserve">Uniform </w:t>
      </w:r>
      <w:r w:rsidR="0073273B">
        <w:t>Measurement</w:t>
      </w:r>
      <w:r>
        <w:t>s Questions</w:t>
      </w:r>
      <w:r w:rsidR="00276200">
        <w:t xml:space="preserve"> &amp; B (Narrative)</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598EBB6" w14:textId="77777777" w:rsidR="00C46710" w:rsidRDefault="00C46710" w:rsidP="00C45872">
      <w:pPr>
        <w:ind w:left="720"/>
        <w:rPr>
          <w:b/>
        </w:rPr>
      </w:pPr>
    </w:p>
    <w:p w14:paraId="1F6670A4" w14:textId="35BFAE92" w:rsidR="0073273B" w:rsidRDefault="00C45872" w:rsidP="00C45872">
      <w:pPr>
        <w:ind w:left="720"/>
        <w:rPr>
          <w:b/>
        </w:rPr>
      </w:pPr>
      <w:r>
        <w:rPr>
          <w:b/>
        </w:rPr>
        <w:t>Student Opinion of Materials</w:t>
      </w:r>
      <w:r w:rsidR="0073273B" w:rsidRPr="0073273B">
        <w:rPr>
          <w:b/>
        </w:rPr>
        <w:t xml:space="preserve"> </w:t>
      </w:r>
    </w:p>
    <w:p w14:paraId="7966F777" w14:textId="04F1EE2C" w:rsidR="00C45872" w:rsidRDefault="00C45872" w:rsidP="00C45872">
      <w:pPr>
        <w:ind w:left="1080"/>
        <w:rPr>
          <w:b/>
        </w:rPr>
      </w:pPr>
      <w:r w:rsidRPr="00987DD6">
        <w:rPr>
          <w:b/>
        </w:rPr>
        <w:t xml:space="preserve">Was the </w:t>
      </w:r>
      <w:r>
        <w:rPr>
          <w:b/>
        </w:rPr>
        <w:t>overall student opinion about the materials used in the course</w:t>
      </w:r>
      <w:r w:rsidRPr="00987DD6">
        <w:rPr>
          <w:b/>
        </w:rPr>
        <w:t xml:space="preserve"> </w:t>
      </w:r>
      <w:r>
        <w:rPr>
          <w:b/>
        </w:rPr>
        <w:t>positive, neutral, or negative?</w:t>
      </w:r>
    </w:p>
    <w:p w14:paraId="31FF61B6" w14:textId="54A9F1E7" w:rsidR="00684A25" w:rsidRPr="00684A25" w:rsidRDefault="00684A25" w:rsidP="00C45872">
      <w:pPr>
        <w:ind w:left="1080"/>
      </w:pPr>
      <w:r w:rsidRPr="00684A25">
        <w:t>Total number of students affected</w:t>
      </w:r>
      <w:r>
        <w:t xml:space="preserve"> in this project</w:t>
      </w:r>
      <w:r w:rsidRPr="00684A25">
        <w:t>: __________</w:t>
      </w:r>
    </w:p>
    <w:p w14:paraId="37FBFE79" w14:textId="101AD3DA" w:rsidR="0073273B" w:rsidRPr="001D51FD" w:rsidRDefault="0073273B" w:rsidP="00A94A5F">
      <w:pPr>
        <w:pStyle w:val="ListParagraph"/>
        <w:numPr>
          <w:ilvl w:val="0"/>
          <w:numId w:val="3"/>
        </w:numPr>
        <w:ind w:left="1800"/>
      </w:pPr>
      <w:r w:rsidRPr="001D51FD">
        <w:t>Positive</w:t>
      </w:r>
      <w:proofErr w:type="gramStart"/>
      <w:r w:rsidRPr="001D51FD">
        <w:t>:</w:t>
      </w:r>
      <w:r w:rsidR="00285B86">
        <w:tab/>
      </w:r>
      <w:r w:rsidRPr="001D51FD">
        <w:t>_</w:t>
      </w:r>
      <w:proofErr w:type="gramEnd"/>
      <w:r w:rsidRPr="001D51FD">
        <w:t xml:space="preserve">______ % of ________ </w:t>
      </w:r>
      <w:r w:rsidR="001D51FD" w:rsidRPr="001D51FD">
        <w:t xml:space="preserve">number of </w:t>
      </w:r>
      <w:r w:rsidRPr="001D51FD">
        <w:t>respondents</w:t>
      </w:r>
    </w:p>
    <w:p w14:paraId="665A9B89" w14:textId="1569B4CC" w:rsidR="00684A25" w:rsidRDefault="0073273B" w:rsidP="00A94A5F">
      <w:pPr>
        <w:pStyle w:val="ListParagraph"/>
        <w:numPr>
          <w:ilvl w:val="0"/>
          <w:numId w:val="3"/>
        </w:numPr>
        <w:ind w:left="1800"/>
      </w:pPr>
      <w:r w:rsidRPr="001D51FD">
        <w:t>Neutral</w:t>
      </w:r>
      <w:proofErr w:type="gramStart"/>
      <w:r w:rsidRPr="001D51FD">
        <w:t>:</w:t>
      </w:r>
      <w:r w:rsidR="00285B86">
        <w:tab/>
      </w:r>
      <w:r w:rsidR="001D51FD" w:rsidRPr="001D51FD">
        <w:t>_</w:t>
      </w:r>
      <w:proofErr w:type="gramEnd"/>
      <w:r w:rsidR="001D51FD" w:rsidRPr="001D51FD">
        <w:t>______ % of ________ number of respondents</w:t>
      </w:r>
    </w:p>
    <w:p w14:paraId="76D320ED" w14:textId="77777777" w:rsidR="00CB21B5" w:rsidRDefault="0073273B" w:rsidP="00A94A5F">
      <w:pPr>
        <w:pStyle w:val="ListParagraph"/>
        <w:numPr>
          <w:ilvl w:val="0"/>
          <w:numId w:val="3"/>
        </w:numPr>
        <w:ind w:left="1800"/>
      </w:pPr>
      <w:r w:rsidRPr="00684A25">
        <w:t>Negative</w:t>
      </w:r>
      <w:proofErr w:type="gramStart"/>
      <w:r w:rsidR="001D51FD" w:rsidRPr="00684A25">
        <w:t>:</w:t>
      </w:r>
      <w:r w:rsidR="00285B86">
        <w:tab/>
      </w:r>
      <w:r w:rsidR="001D51FD" w:rsidRPr="00684A25">
        <w:t>_</w:t>
      </w:r>
      <w:proofErr w:type="gramEnd"/>
      <w:r w:rsidR="001D51FD" w:rsidRPr="00684A25">
        <w:t>______ % of ________ number of respondents</w:t>
      </w:r>
    </w:p>
    <w:p w14:paraId="1CC85AF7" w14:textId="77777777" w:rsidR="00CB21B5" w:rsidRDefault="00CB21B5" w:rsidP="00CB21B5">
      <w:pPr>
        <w:rPr>
          <w:b/>
        </w:rPr>
      </w:pPr>
    </w:p>
    <w:p w14:paraId="1A467E34" w14:textId="77777777" w:rsidR="00325BA5" w:rsidRPr="005E5FF6" w:rsidRDefault="00325BA5" w:rsidP="00325BA5">
      <w:pPr>
        <w:spacing w:after="160" w:line="259" w:lineRule="auto"/>
        <w:rPr>
          <w:rFonts w:eastAsiaTheme="minorHAnsi"/>
          <w:bCs/>
        </w:rPr>
      </w:pPr>
      <w:proofErr w:type="gramStart"/>
      <w:r w:rsidRPr="005E5FF6">
        <w:rPr>
          <w:rFonts w:eastAsiaTheme="minorHAnsi"/>
          <w:bCs/>
        </w:rPr>
        <w:t>The quantitative</w:t>
      </w:r>
      <w:proofErr w:type="gramEnd"/>
      <w:r w:rsidRPr="005E5FF6">
        <w:rPr>
          <w:rFonts w:eastAsiaTheme="minorHAnsi"/>
          <w:bCs/>
        </w:rPr>
        <w:t xml:space="preserve"> success is mirrored by the qualitative feedback collected via course surveys. This data </w:t>
      </w:r>
      <w:r w:rsidRPr="00B0038C">
        <w:rPr>
          <w:rFonts w:eastAsiaTheme="minorHAnsi"/>
          <w:bCs/>
        </w:rPr>
        <w:t xml:space="preserve">analysis </w:t>
      </w:r>
      <w:r w:rsidRPr="005E5FF6">
        <w:rPr>
          <w:rFonts w:eastAsiaTheme="minorHAnsi"/>
          <w:bCs/>
        </w:rPr>
        <w:t xml:space="preserve">provides insight into </w:t>
      </w:r>
      <w:r w:rsidRPr="005E5FF6">
        <w:rPr>
          <w:rFonts w:eastAsiaTheme="minorHAnsi"/>
          <w:bCs/>
          <w:i/>
          <w:iCs/>
        </w:rPr>
        <w:t>why</w:t>
      </w:r>
      <w:r w:rsidRPr="005E5FF6">
        <w:rPr>
          <w:rFonts w:eastAsiaTheme="minorHAnsi"/>
          <w:bCs/>
        </w:rPr>
        <w:t xml:space="preserve"> the transformation worked.</w:t>
      </w:r>
    </w:p>
    <w:p w14:paraId="1D6454C7" w14:textId="07F11FA4" w:rsidR="00325BA5" w:rsidRPr="00C96A37" w:rsidRDefault="003A340C" w:rsidP="00FA78A2">
      <w:pPr>
        <w:spacing w:line="259" w:lineRule="auto"/>
        <w:rPr>
          <w:rFonts w:eastAsiaTheme="minorHAnsi"/>
          <w:b/>
          <w:bCs/>
          <w:i/>
          <w:iCs/>
        </w:rPr>
      </w:pPr>
      <w:r w:rsidRPr="00C96A37">
        <w:rPr>
          <w:rFonts w:eastAsiaTheme="minorHAnsi"/>
          <w:b/>
          <w:bCs/>
          <w:i/>
          <w:iCs/>
        </w:rPr>
        <w:t>3</w:t>
      </w:r>
      <w:r w:rsidR="00325BA5" w:rsidRPr="00C96A37">
        <w:rPr>
          <w:rFonts w:eastAsiaTheme="minorHAnsi"/>
          <w:b/>
          <w:bCs/>
          <w:i/>
          <w:iCs/>
        </w:rPr>
        <w:t>.1 Student Opinion of Materials</w:t>
      </w:r>
    </w:p>
    <w:p w14:paraId="2D151F80" w14:textId="77777777" w:rsidR="00325BA5" w:rsidRDefault="00325BA5" w:rsidP="00FA78A2">
      <w:pPr>
        <w:spacing w:line="259" w:lineRule="auto"/>
        <w:rPr>
          <w:rFonts w:eastAsiaTheme="minorHAnsi"/>
          <w:bCs/>
        </w:rPr>
      </w:pPr>
      <w:r w:rsidRPr="005E5FF6">
        <w:rPr>
          <w:rFonts w:eastAsiaTheme="minorHAnsi"/>
          <w:bCs/>
        </w:rPr>
        <w:t>We evaluated student satisfaction through two lenses: their experience with the interactive OER materials (</w:t>
      </w:r>
      <w:r>
        <w:rPr>
          <w:rFonts w:eastAsiaTheme="minorHAnsi"/>
          <w:bCs/>
        </w:rPr>
        <w:t xml:space="preserve">lecture content, </w:t>
      </w:r>
      <w:r w:rsidRPr="00B0038C">
        <w:rPr>
          <w:rFonts w:eastAsiaTheme="minorHAnsi"/>
          <w:bCs/>
        </w:rPr>
        <w:t xml:space="preserve">links to </w:t>
      </w:r>
      <w:r>
        <w:rPr>
          <w:rFonts w:eastAsiaTheme="minorHAnsi"/>
          <w:bCs/>
        </w:rPr>
        <w:t xml:space="preserve">extra </w:t>
      </w:r>
      <w:r w:rsidRPr="00B0038C">
        <w:rPr>
          <w:rFonts w:eastAsiaTheme="minorHAnsi"/>
          <w:bCs/>
        </w:rPr>
        <w:t xml:space="preserve">reading via </w:t>
      </w:r>
      <w:r>
        <w:rPr>
          <w:rFonts w:eastAsiaTheme="minorHAnsi"/>
          <w:bCs/>
        </w:rPr>
        <w:t>Galileo,</w:t>
      </w:r>
      <w:r w:rsidRPr="00B0038C">
        <w:rPr>
          <w:rFonts w:eastAsiaTheme="minorHAnsi"/>
          <w:bCs/>
        </w:rPr>
        <w:t xml:space="preserve"> and </w:t>
      </w:r>
      <w:r w:rsidRPr="005E5FF6">
        <w:rPr>
          <w:rFonts w:eastAsiaTheme="minorHAnsi"/>
          <w:bCs/>
        </w:rPr>
        <w:t>the Excel games) and their preference for these materials over the traditional commercial textbook.</w:t>
      </w:r>
    </w:p>
    <w:p w14:paraId="57D46786" w14:textId="77777777" w:rsidR="00FA78A2" w:rsidRPr="005E5FF6" w:rsidRDefault="00FA78A2" w:rsidP="00FA78A2">
      <w:pPr>
        <w:spacing w:line="259" w:lineRule="auto"/>
        <w:rPr>
          <w:rFonts w:eastAsiaTheme="minorHAnsi"/>
          <w:bCs/>
        </w:rPr>
      </w:pPr>
    </w:p>
    <w:p w14:paraId="1E6636BC" w14:textId="77777777" w:rsidR="00325BA5" w:rsidRPr="005E5FF6" w:rsidRDefault="00325BA5" w:rsidP="00FA78A2">
      <w:pPr>
        <w:spacing w:line="259" w:lineRule="auto"/>
        <w:rPr>
          <w:rFonts w:eastAsiaTheme="minorHAnsi"/>
          <w:bCs/>
          <w:i/>
          <w:iCs/>
          <w:u w:val="single"/>
        </w:rPr>
      </w:pPr>
      <w:r w:rsidRPr="005E5FF6">
        <w:rPr>
          <w:rFonts w:eastAsiaTheme="minorHAnsi"/>
          <w:bCs/>
          <w:i/>
          <w:iCs/>
          <w:u w:val="single"/>
        </w:rPr>
        <w:t>A. Satisfaction with Interactive Excel Games</w:t>
      </w:r>
    </w:p>
    <w:p w14:paraId="524E9DD7" w14:textId="77777777" w:rsidR="00325BA5" w:rsidRPr="005E5FF6" w:rsidRDefault="00325BA5" w:rsidP="00FA78A2">
      <w:pPr>
        <w:spacing w:line="259" w:lineRule="auto"/>
        <w:rPr>
          <w:rFonts w:eastAsiaTheme="minorHAnsi"/>
          <w:bCs/>
        </w:rPr>
      </w:pPr>
      <w:r w:rsidRPr="005E5FF6">
        <w:rPr>
          <w:rFonts w:eastAsiaTheme="minorHAnsi"/>
          <w:bCs/>
        </w:rPr>
        <w:t>Data collected from the post-course survey (Excel based cash flow practice.xlsx) indicates a high level of satisfaction with the efficacy of the new gamified materials.</w:t>
      </w:r>
    </w:p>
    <w:p w14:paraId="2D0A2F40" w14:textId="77777777" w:rsidR="00325BA5" w:rsidRPr="005E5FF6" w:rsidRDefault="00325BA5" w:rsidP="00FA78A2">
      <w:pPr>
        <w:numPr>
          <w:ilvl w:val="0"/>
          <w:numId w:val="20"/>
        </w:numPr>
        <w:spacing w:line="259" w:lineRule="auto"/>
        <w:rPr>
          <w:rFonts w:eastAsiaTheme="minorHAnsi"/>
        </w:rPr>
      </w:pPr>
      <w:r w:rsidRPr="005E5FF6">
        <w:rPr>
          <w:rFonts w:eastAsiaTheme="minorHAnsi"/>
        </w:rPr>
        <w:t>Positive (Extremely/Somewhat Satisfied): 81.75% (103 of 126 respondents)</w:t>
      </w:r>
    </w:p>
    <w:p w14:paraId="7AC38489" w14:textId="77777777" w:rsidR="00325BA5" w:rsidRPr="005E5FF6" w:rsidRDefault="00325BA5" w:rsidP="00FA78A2">
      <w:pPr>
        <w:numPr>
          <w:ilvl w:val="0"/>
          <w:numId w:val="20"/>
        </w:numPr>
        <w:spacing w:line="259" w:lineRule="auto"/>
        <w:rPr>
          <w:rFonts w:eastAsiaTheme="minorHAnsi"/>
        </w:rPr>
      </w:pPr>
      <w:r w:rsidRPr="005E5FF6">
        <w:rPr>
          <w:rFonts w:eastAsiaTheme="minorHAnsi"/>
        </w:rPr>
        <w:t>Neutral (Neither): 13.49% (17 of 126 respondents)</w:t>
      </w:r>
    </w:p>
    <w:p w14:paraId="39C07741" w14:textId="77777777" w:rsidR="00325BA5" w:rsidRDefault="00325BA5" w:rsidP="00FA78A2">
      <w:pPr>
        <w:numPr>
          <w:ilvl w:val="0"/>
          <w:numId w:val="20"/>
        </w:numPr>
        <w:snapToGrid w:val="0"/>
        <w:spacing w:line="259" w:lineRule="auto"/>
        <w:rPr>
          <w:rFonts w:eastAsiaTheme="minorHAnsi"/>
        </w:rPr>
      </w:pPr>
      <w:r w:rsidRPr="005E5FF6">
        <w:rPr>
          <w:rFonts w:eastAsiaTheme="minorHAnsi"/>
        </w:rPr>
        <w:t>Negative (Dissatisfied): 4.76% (6 of 126 respondents)</w:t>
      </w:r>
    </w:p>
    <w:p w14:paraId="264AE2E8" w14:textId="77777777" w:rsidR="00C46710" w:rsidRPr="005E5FF6" w:rsidRDefault="00C46710" w:rsidP="00FA78A2">
      <w:pPr>
        <w:snapToGrid w:val="0"/>
        <w:spacing w:line="259" w:lineRule="auto"/>
        <w:ind w:left="720"/>
        <w:rPr>
          <w:rFonts w:eastAsiaTheme="minorHAnsi"/>
        </w:rPr>
      </w:pPr>
    </w:p>
    <w:p w14:paraId="27ABB947" w14:textId="77777777" w:rsidR="00325BA5" w:rsidRPr="005E5FF6" w:rsidRDefault="00325BA5" w:rsidP="00FA78A2">
      <w:pPr>
        <w:snapToGrid w:val="0"/>
        <w:spacing w:line="259" w:lineRule="auto"/>
        <w:rPr>
          <w:rFonts w:eastAsiaTheme="minorHAnsi"/>
          <w:bCs/>
          <w:i/>
          <w:iCs/>
          <w:u w:val="single"/>
        </w:rPr>
      </w:pPr>
      <w:r w:rsidRPr="005E5FF6">
        <w:rPr>
          <w:rFonts w:eastAsiaTheme="minorHAnsi"/>
          <w:bCs/>
          <w:i/>
          <w:iCs/>
          <w:u w:val="single"/>
        </w:rPr>
        <w:t>B. Preference for Instructor Materials vs. Textbook</w:t>
      </w:r>
    </w:p>
    <w:p w14:paraId="01EFA945" w14:textId="77777777" w:rsidR="00325BA5" w:rsidRDefault="00325BA5" w:rsidP="00FA78A2">
      <w:pPr>
        <w:snapToGrid w:val="0"/>
        <w:spacing w:line="259" w:lineRule="auto"/>
        <w:rPr>
          <w:rFonts w:eastAsiaTheme="minorHAnsi"/>
          <w:bCs/>
        </w:rPr>
      </w:pPr>
      <w:r w:rsidRPr="005E5FF6">
        <w:rPr>
          <w:rFonts w:eastAsiaTheme="minorHAnsi"/>
          <w:bCs/>
        </w:rPr>
        <w:t>Data collected from the course resource survey (CM 3800 Textbook) asked students to state their preference regarding the course materials.</w:t>
      </w:r>
    </w:p>
    <w:p w14:paraId="623D72B0" w14:textId="77777777" w:rsidR="00325BA5" w:rsidRPr="005E5FF6" w:rsidRDefault="00325BA5" w:rsidP="00FA78A2">
      <w:pPr>
        <w:numPr>
          <w:ilvl w:val="0"/>
          <w:numId w:val="21"/>
        </w:numPr>
        <w:snapToGrid w:val="0"/>
        <w:spacing w:line="259" w:lineRule="auto"/>
        <w:rPr>
          <w:rFonts w:eastAsiaTheme="minorHAnsi"/>
        </w:rPr>
      </w:pPr>
      <w:r w:rsidRPr="005E5FF6">
        <w:rPr>
          <w:rFonts w:eastAsiaTheme="minorHAnsi"/>
        </w:rPr>
        <w:t>Positive (Preferred "No Textbook"): 55.2% (69 of 125 respondents)</w:t>
      </w:r>
    </w:p>
    <w:p w14:paraId="6A65B3BC" w14:textId="16DEE83A" w:rsidR="00325BA5" w:rsidRPr="005E5FF6" w:rsidRDefault="00325BA5" w:rsidP="00FA78A2">
      <w:pPr>
        <w:numPr>
          <w:ilvl w:val="1"/>
          <w:numId w:val="21"/>
        </w:numPr>
        <w:snapToGrid w:val="0"/>
        <w:spacing w:line="259" w:lineRule="auto"/>
        <w:rPr>
          <w:rFonts w:eastAsiaTheme="minorHAnsi"/>
        </w:rPr>
      </w:pPr>
      <w:r w:rsidRPr="005E5FF6">
        <w:rPr>
          <w:rFonts w:eastAsiaTheme="minorHAnsi"/>
          <w:i/>
          <w:iCs/>
        </w:rPr>
        <w:t>This group explicitly preferred relying on the instructor-provided OER content over purchasing a book, often citing that the provided notes were sufficient and "more valuable."</w:t>
      </w:r>
    </w:p>
    <w:p w14:paraId="5AAD366C" w14:textId="77777777" w:rsidR="00325BA5" w:rsidRPr="005E5FF6" w:rsidRDefault="00325BA5" w:rsidP="00FA78A2">
      <w:pPr>
        <w:numPr>
          <w:ilvl w:val="0"/>
          <w:numId w:val="21"/>
        </w:numPr>
        <w:snapToGrid w:val="0"/>
        <w:spacing w:line="259" w:lineRule="auto"/>
        <w:rPr>
          <w:rFonts w:eastAsiaTheme="minorHAnsi"/>
        </w:rPr>
      </w:pPr>
      <w:r w:rsidRPr="005E5FF6">
        <w:rPr>
          <w:rFonts w:eastAsiaTheme="minorHAnsi"/>
        </w:rPr>
        <w:t>Neutral (Preferred "Recommended Textbook"): 39.2% (49 of 125 respondents)</w:t>
      </w:r>
    </w:p>
    <w:p w14:paraId="420DA221" w14:textId="3A7F77CA" w:rsidR="00325BA5" w:rsidRPr="005E5FF6" w:rsidRDefault="00325BA5" w:rsidP="00FA78A2">
      <w:pPr>
        <w:numPr>
          <w:ilvl w:val="1"/>
          <w:numId w:val="21"/>
        </w:numPr>
        <w:snapToGrid w:val="0"/>
        <w:spacing w:line="259" w:lineRule="auto"/>
        <w:rPr>
          <w:rFonts w:eastAsiaTheme="minorHAnsi"/>
        </w:rPr>
      </w:pPr>
      <w:r w:rsidRPr="005E5FF6">
        <w:rPr>
          <w:rFonts w:eastAsiaTheme="minorHAnsi"/>
          <w:i/>
          <w:iCs/>
        </w:rPr>
        <w:t>This group preferred the textbook to be optional (recommended) rather than required, using it only as a backup reference.</w:t>
      </w:r>
    </w:p>
    <w:p w14:paraId="20119E1D" w14:textId="77777777" w:rsidR="00325BA5" w:rsidRPr="005E5FF6" w:rsidRDefault="00325BA5" w:rsidP="00FA78A2">
      <w:pPr>
        <w:numPr>
          <w:ilvl w:val="0"/>
          <w:numId w:val="21"/>
        </w:numPr>
        <w:snapToGrid w:val="0"/>
        <w:spacing w:line="259" w:lineRule="auto"/>
        <w:rPr>
          <w:rFonts w:eastAsiaTheme="minorHAnsi"/>
        </w:rPr>
      </w:pPr>
      <w:r w:rsidRPr="005E5FF6">
        <w:rPr>
          <w:rFonts w:eastAsiaTheme="minorHAnsi"/>
        </w:rPr>
        <w:t>Negative (Preferred "Required Textbook"): 5.6% (7 of 125 respondents)</w:t>
      </w:r>
    </w:p>
    <w:p w14:paraId="5EEB7502" w14:textId="4723422B" w:rsidR="00325BA5" w:rsidRPr="00C46710" w:rsidRDefault="00325BA5" w:rsidP="00C46710">
      <w:pPr>
        <w:numPr>
          <w:ilvl w:val="1"/>
          <w:numId w:val="21"/>
        </w:numPr>
        <w:snapToGrid w:val="0"/>
        <w:spacing w:line="259" w:lineRule="auto"/>
        <w:rPr>
          <w:rFonts w:eastAsiaTheme="minorHAnsi"/>
        </w:rPr>
      </w:pPr>
      <w:r w:rsidRPr="005E5FF6">
        <w:rPr>
          <w:rFonts w:eastAsiaTheme="minorHAnsi"/>
          <w:i/>
          <w:iCs/>
        </w:rPr>
        <w:t>A small minority preferred the traditional model where a textbook is mandatory.</w:t>
      </w:r>
      <w:r w:rsidRPr="00B14B28">
        <w:rPr>
          <w:rFonts w:eastAsiaTheme="minorHAnsi"/>
          <w:i/>
          <w:iCs/>
        </w:rPr>
        <w:t xml:space="preserve"> Further analysis reveals that these students tend to learn on their own rather than in a classroom.</w:t>
      </w:r>
    </w:p>
    <w:p w14:paraId="69FC84E9" w14:textId="77777777" w:rsidR="00C46710" w:rsidRDefault="00C46710" w:rsidP="00C46710">
      <w:pPr>
        <w:snapToGrid w:val="0"/>
        <w:spacing w:line="259" w:lineRule="auto"/>
        <w:ind w:left="1440"/>
        <w:rPr>
          <w:rFonts w:eastAsiaTheme="minorHAnsi"/>
        </w:rPr>
      </w:pPr>
    </w:p>
    <w:p w14:paraId="71DBFB6A" w14:textId="77777777" w:rsidR="00FA78A2" w:rsidRPr="005E5FF6" w:rsidRDefault="00FA78A2" w:rsidP="00C46710">
      <w:pPr>
        <w:snapToGrid w:val="0"/>
        <w:spacing w:line="259" w:lineRule="auto"/>
        <w:ind w:left="1440"/>
        <w:rPr>
          <w:rFonts w:eastAsiaTheme="minorHAnsi"/>
        </w:rPr>
      </w:pPr>
    </w:p>
    <w:p w14:paraId="69957DEF" w14:textId="1573168A" w:rsidR="009B21A1" w:rsidRPr="00FA78A2" w:rsidRDefault="003A340C" w:rsidP="009B21A1">
      <w:pPr>
        <w:rPr>
          <w:b/>
          <w:bCs/>
          <w:i/>
          <w:iCs/>
        </w:rPr>
      </w:pPr>
      <w:r w:rsidRPr="00FA78A2">
        <w:rPr>
          <w:b/>
          <w:bCs/>
          <w:i/>
          <w:iCs/>
        </w:rPr>
        <w:lastRenderedPageBreak/>
        <w:t xml:space="preserve">3.2 </w:t>
      </w:r>
      <w:r w:rsidR="009B21A1" w:rsidRPr="00FA78A2">
        <w:rPr>
          <w:b/>
          <w:bCs/>
          <w:i/>
          <w:iCs/>
        </w:rPr>
        <w:t>Student Learning Outcomes and Grades: Comparative Analysis</w:t>
      </w:r>
    </w:p>
    <w:p w14:paraId="270D1743" w14:textId="61095673" w:rsidR="009B21A1" w:rsidRDefault="009B21A1" w:rsidP="00FA78A2">
      <w:pPr>
        <w:spacing w:line="259" w:lineRule="auto"/>
        <w:rPr>
          <w:rFonts w:eastAsiaTheme="minorHAnsi"/>
          <w:bCs/>
        </w:rPr>
      </w:pPr>
      <w:r w:rsidRPr="008366AE">
        <w:rPr>
          <w:rFonts w:eastAsiaTheme="minorHAnsi"/>
          <w:bCs/>
        </w:rPr>
        <w:t>A detailed analysis of grade statistics from the pre-implementation period (Spring 2025) and post-implementation period (Summer/Fall 2025) reveals a distinct positive trend. Specifically, the data shows that while overall academic rigor was maintained (evidenced by consistent median scores), the intervention significantly improved the performance of outliers</w:t>
      </w:r>
      <w:r>
        <w:rPr>
          <w:rFonts w:eastAsiaTheme="minorHAnsi"/>
          <w:bCs/>
        </w:rPr>
        <w:t xml:space="preserve">: </w:t>
      </w:r>
      <w:r w:rsidRPr="008366AE">
        <w:rPr>
          <w:rFonts w:eastAsiaTheme="minorHAnsi"/>
          <w:bCs/>
        </w:rPr>
        <w:t>students typically at risk of failing.</w:t>
      </w:r>
    </w:p>
    <w:p w14:paraId="02F78A82" w14:textId="77777777" w:rsidR="00C46710" w:rsidRDefault="00C46710" w:rsidP="00C46710">
      <w:pPr>
        <w:spacing w:line="259" w:lineRule="auto"/>
        <w:rPr>
          <w:rFonts w:eastAsiaTheme="minorHAnsi"/>
          <w:bCs/>
        </w:rPr>
      </w:pPr>
    </w:p>
    <w:p w14:paraId="51A75A1A" w14:textId="77777777" w:rsidR="009B21A1" w:rsidRPr="008049B8" w:rsidRDefault="009B21A1" w:rsidP="008049B8">
      <w:pPr>
        <w:rPr>
          <w:bCs/>
          <w:i/>
          <w:iCs/>
          <w:u w:val="single"/>
        </w:rPr>
      </w:pPr>
      <w:r w:rsidRPr="008049B8">
        <w:rPr>
          <w:bCs/>
          <w:i/>
          <w:iCs/>
          <w:u w:val="single"/>
        </w:rPr>
        <w:t>Median Grade Analysis: Stability and Rigor</w:t>
      </w:r>
    </w:p>
    <w:p w14:paraId="1C3877A8" w14:textId="77777777" w:rsidR="009B21A1" w:rsidRPr="003D0489" w:rsidRDefault="009B21A1" w:rsidP="009B21A1">
      <w:pPr>
        <w:pStyle w:val="ListParagraph"/>
        <w:rPr>
          <w:bCs/>
        </w:rPr>
      </w:pPr>
    </w:p>
    <w:tbl>
      <w:tblPr>
        <w:tblW w:w="0" w:type="auto"/>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099"/>
        <w:gridCol w:w="1414"/>
        <w:gridCol w:w="807"/>
        <w:gridCol w:w="954"/>
        <w:gridCol w:w="1454"/>
        <w:gridCol w:w="2392"/>
      </w:tblGrid>
      <w:tr w:rsidR="009B21A1" w:rsidRPr="008366AE" w14:paraId="573B69DB" w14:textId="77777777" w:rsidTr="0073115F">
        <w:trPr>
          <w:tblHeader/>
          <w:tblCellSpacing w:w="15" w:type="dxa"/>
        </w:trPr>
        <w:tc>
          <w:tcPr>
            <w:tcW w:w="0" w:type="auto"/>
            <w:vAlign w:val="center"/>
            <w:hideMark/>
          </w:tcPr>
          <w:p w14:paraId="3D532433" w14:textId="77777777" w:rsidR="009B21A1" w:rsidRPr="008366AE" w:rsidRDefault="009B21A1" w:rsidP="0073115F">
            <w:pPr>
              <w:rPr>
                <w:b/>
              </w:rPr>
            </w:pPr>
            <w:r w:rsidRPr="008366AE">
              <w:rPr>
                <w:b/>
              </w:rPr>
              <w:t>Phase</w:t>
            </w:r>
          </w:p>
        </w:tc>
        <w:tc>
          <w:tcPr>
            <w:tcW w:w="0" w:type="auto"/>
            <w:vAlign w:val="center"/>
            <w:hideMark/>
          </w:tcPr>
          <w:p w14:paraId="39A08CE6" w14:textId="77777777" w:rsidR="009B21A1" w:rsidRPr="008366AE" w:rsidRDefault="009B21A1" w:rsidP="0073115F">
            <w:pPr>
              <w:rPr>
                <w:b/>
              </w:rPr>
            </w:pPr>
            <w:r w:rsidRPr="008366AE">
              <w:rPr>
                <w:b/>
              </w:rPr>
              <w:t>Semester</w:t>
            </w:r>
          </w:p>
        </w:tc>
        <w:tc>
          <w:tcPr>
            <w:tcW w:w="0" w:type="auto"/>
            <w:vAlign w:val="center"/>
            <w:hideMark/>
          </w:tcPr>
          <w:p w14:paraId="5F4A1B42" w14:textId="77777777" w:rsidR="009B21A1" w:rsidRPr="008366AE" w:rsidRDefault="009B21A1" w:rsidP="0073115F">
            <w:pPr>
              <w:rPr>
                <w:b/>
              </w:rPr>
            </w:pPr>
            <w:r w:rsidRPr="008366AE">
              <w:rPr>
                <w:b/>
              </w:rPr>
              <w:t>Section</w:t>
            </w:r>
          </w:p>
        </w:tc>
        <w:tc>
          <w:tcPr>
            <w:tcW w:w="0" w:type="auto"/>
            <w:vAlign w:val="center"/>
            <w:hideMark/>
          </w:tcPr>
          <w:p w14:paraId="3904ACA9" w14:textId="77777777" w:rsidR="009B21A1" w:rsidRPr="008366AE" w:rsidRDefault="009B21A1" w:rsidP="0073115F">
            <w:pPr>
              <w:rPr>
                <w:b/>
              </w:rPr>
            </w:pPr>
            <w:r w:rsidRPr="008366AE">
              <w:rPr>
                <w:b/>
              </w:rPr>
              <w:t>Students</w:t>
            </w:r>
          </w:p>
        </w:tc>
        <w:tc>
          <w:tcPr>
            <w:tcW w:w="0" w:type="auto"/>
            <w:vAlign w:val="center"/>
            <w:hideMark/>
          </w:tcPr>
          <w:p w14:paraId="0360A8A3" w14:textId="77777777" w:rsidR="009B21A1" w:rsidRPr="008366AE" w:rsidRDefault="009B21A1" w:rsidP="0073115F">
            <w:pPr>
              <w:rPr>
                <w:b/>
              </w:rPr>
            </w:pPr>
            <w:r w:rsidRPr="008366AE">
              <w:rPr>
                <w:b/>
              </w:rPr>
              <w:t>Class Median</w:t>
            </w:r>
          </w:p>
        </w:tc>
        <w:tc>
          <w:tcPr>
            <w:tcW w:w="0" w:type="auto"/>
            <w:vAlign w:val="center"/>
            <w:hideMark/>
          </w:tcPr>
          <w:p w14:paraId="2E323581" w14:textId="77777777" w:rsidR="009B21A1" w:rsidRPr="008366AE" w:rsidRDefault="009B21A1" w:rsidP="0073115F">
            <w:pPr>
              <w:rPr>
                <w:b/>
              </w:rPr>
            </w:pPr>
            <w:r w:rsidRPr="008366AE">
              <w:rPr>
                <w:b/>
              </w:rPr>
              <w:t>Weighted Avg Median</w:t>
            </w:r>
          </w:p>
        </w:tc>
      </w:tr>
      <w:tr w:rsidR="009B21A1" w:rsidRPr="008366AE" w14:paraId="16CB7CEF" w14:textId="77777777" w:rsidTr="0073115F">
        <w:trPr>
          <w:tblCellSpacing w:w="15" w:type="dxa"/>
        </w:trPr>
        <w:tc>
          <w:tcPr>
            <w:tcW w:w="0" w:type="auto"/>
            <w:vAlign w:val="center"/>
            <w:hideMark/>
          </w:tcPr>
          <w:p w14:paraId="1D58E827" w14:textId="77777777" w:rsidR="009B21A1" w:rsidRPr="008366AE" w:rsidRDefault="009B21A1" w:rsidP="0073115F">
            <w:pPr>
              <w:rPr>
                <w:bCs/>
              </w:rPr>
            </w:pPr>
            <w:r w:rsidRPr="008366AE">
              <w:rPr>
                <w:bCs/>
              </w:rPr>
              <w:t>Pre-Implementation</w:t>
            </w:r>
          </w:p>
        </w:tc>
        <w:tc>
          <w:tcPr>
            <w:tcW w:w="0" w:type="auto"/>
            <w:vAlign w:val="center"/>
            <w:hideMark/>
          </w:tcPr>
          <w:p w14:paraId="76CEE1BA" w14:textId="77777777" w:rsidR="009B21A1" w:rsidRPr="008366AE" w:rsidRDefault="009B21A1" w:rsidP="0073115F">
            <w:pPr>
              <w:rPr>
                <w:bCs/>
              </w:rPr>
            </w:pPr>
            <w:r w:rsidRPr="008366AE">
              <w:rPr>
                <w:bCs/>
              </w:rPr>
              <w:t>Spring 2025</w:t>
            </w:r>
          </w:p>
        </w:tc>
        <w:tc>
          <w:tcPr>
            <w:tcW w:w="0" w:type="auto"/>
            <w:vAlign w:val="center"/>
            <w:hideMark/>
          </w:tcPr>
          <w:p w14:paraId="79B69A4C" w14:textId="77777777" w:rsidR="009B21A1" w:rsidRPr="008366AE" w:rsidRDefault="009B21A1" w:rsidP="0073115F">
            <w:pPr>
              <w:rPr>
                <w:bCs/>
              </w:rPr>
            </w:pPr>
            <w:r w:rsidRPr="008366AE">
              <w:rPr>
                <w:bCs/>
              </w:rPr>
              <w:t>Sec 1</w:t>
            </w:r>
          </w:p>
        </w:tc>
        <w:tc>
          <w:tcPr>
            <w:tcW w:w="0" w:type="auto"/>
            <w:vAlign w:val="center"/>
            <w:hideMark/>
          </w:tcPr>
          <w:p w14:paraId="6D4A4DDE" w14:textId="77777777" w:rsidR="009B21A1" w:rsidRPr="008366AE" w:rsidRDefault="009B21A1" w:rsidP="0073115F">
            <w:pPr>
              <w:rPr>
                <w:bCs/>
              </w:rPr>
            </w:pPr>
            <w:r w:rsidRPr="008366AE">
              <w:rPr>
                <w:bCs/>
              </w:rPr>
              <w:t>27</w:t>
            </w:r>
          </w:p>
        </w:tc>
        <w:tc>
          <w:tcPr>
            <w:tcW w:w="0" w:type="auto"/>
            <w:vAlign w:val="center"/>
            <w:hideMark/>
          </w:tcPr>
          <w:p w14:paraId="569A2C04" w14:textId="77777777" w:rsidR="009B21A1" w:rsidRPr="008366AE" w:rsidRDefault="009B21A1" w:rsidP="0073115F">
            <w:pPr>
              <w:rPr>
                <w:bCs/>
              </w:rPr>
            </w:pPr>
            <w:r w:rsidRPr="008366AE">
              <w:rPr>
                <w:bCs/>
              </w:rPr>
              <w:t>90.33%</w:t>
            </w:r>
          </w:p>
        </w:tc>
        <w:tc>
          <w:tcPr>
            <w:tcW w:w="0" w:type="auto"/>
            <w:vAlign w:val="center"/>
            <w:hideMark/>
          </w:tcPr>
          <w:p w14:paraId="739784B8" w14:textId="77777777" w:rsidR="009B21A1" w:rsidRPr="008366AE" w:rsidRDefault="009B21A1" w:rsidP="0073115F">
            <w:pPr>
              <w:rPr>
                <w:bCs/>
              </w:rPr>
            </w:pPr>
          </w:p>
        </w:tc>
      </w:tr>
      <w:tr w:rsidR="009B21A1" w:rsidRPr="008366AE" w14:paraId="640AC4C5" w14:textId="77777777" w:rsidTr="0073115F">
        <w:trPr>
          <w:tblCellSpacing w:w="15" w:type="dxa"/>
        </w:trPr>
        <w:tc>
          <w:tcPr>
            <w:tcW w:w="0" w:type="auto"/>
            <w:vAlign w:val="center"/>
            <w:hideMark/>
          </w:tcPr>
          <w:p w14:paraId="17849A7E" w14:textId="77777777" w:rsidR="009B21A1" w:rsidRPr="008366AE" w:rsidRDefault="009B21A1" w:rsidP="0073115F">
            <w:pPr>
              <w:rPr>
                <w:bCs/>
              </w:rPr>
            </w:pPr>
          </w:p>
        </w:tc>
        <w:tc>
          <w:tcPr>
            <w:tcW w:w="0" w:type="auto"/>
            <w:vAlign w:val="center"/>
            <w:hideMark/>
          </w:tcPr>
          <w:p w14:paraId="55279A0E" w14:textId="77777777" w:rsidR="009B21A1" w:rsidRPr="008366AE" w:rsidRDefault="009B21A1" w:rsidP="0073115F">
            <w:pPr>
              <w:rPr>
                <w:bCs/>
              </w:rPr>
            </w:pPr>
          </w:p>
        </w:tc>
        <w:tc>
          <w:tcPr>
            <w:tcW w:w="0" w:type="auto"/>
            <w:vAlign w:val="center"/>
            <w:hideMark/>
          </w:tcPr>
          <w:p w14:paraId="6B4DF375" w14:textId="77777777" w:rsidR="009B21A1" w:rsidRPr="008366AE" w:rsidRDefault="009B21A1" w:rsidP="0073115F">
            <w:pPr>
              <w:rPr>
                <w:bCs/>
              </w:rPr>
            </w:pPr>
            <w:r w:rsidRPr="008366AE">
              <w:rPr>
                <w:bCs/>
              </w:rPr>
              <w:t>Sec 2</w:t>
            </w:r>
          </w:p>
        </w:tc>
        <w:tc>
          <w:tcPr>
            <w:tcW w:w="0" w:type="auto"/>
            <w:vAlign w:val="center"/>
            <w:hideMark/>
          </w:tcPr>
          <w:p w14:paraId="2881D0AF" w14:textId="77777777" w:rsidR="009B21A1" w:rsidRPr="008366AE" w:rsidRDefault="009B21A1" w:rsidP="0073115F">
            <w:pPr>
              <w:rPr>
                <w:bCs/>
              </w:rPr>
            </w:pPr>
            <w:r w:rsidRPr="008366AE">
              <w:rPr>
                <w:bCs/>
              </w:rPr>
              <w:t>29</w:t>
            </w:r>
          </w:p>
        </w:tc>
        <w:tc>
          <w:tcPr>
            <w:tcW w:w="0" w:type="auto"/>
            <w:vAlign w:val="center"/>
            <w:hideMark/>
          </w:tcPr>
          <w:p w14:paraId="172F82BF" w14:textId="77777777" w:rsidR="009B21A1" w:rsidRPr="008366AE" w:rsidRDefault="009B21A1" w:rsidP="0073115F">
            <w:pPr>
              <w:rPr>
                <w:bCs/>
              </w:rPr>
            </w:pPr>
            <w:r w:rsidRPr="008366AE">
              <w:rPr>
                <w:bCs/>
              </w:rPr>
              <w:t>85.65%</w:t>
            </w:r>
          </w:p>
        </w:tc>
        <w:tc>
          <w:tcPr>
            <w:tcW w:w="0" w:type="auto"/>
            <w:vAlign w:val="center"/>
            <w:hideMark/>
          </w:tcPr>
          <w:p w14:paraId="14B7A392" w14:textId="77777777" w:rsidR="009B21A1" w:rsidRPr="008366AE" w:rsidRDefault="009B21A1" w:rsidP="0073115F">
            <w:pPr>
              <w:rPr>
                <w:bCs/>
              </w:rPr>
            </w:pPr>
            <w:r w:rsidRPr="008366AE">
              <w:rPr>
                <w:bCs/>
              </w:rPr>
              <w:t>86.31%</w:t>
            </w:r>
          </w:p>
        </w:tc>
      </w:tr>
      <w:tr w:rsidR="009B21A1" w:rsidRPr="008366AE" w14:paraId="4E33196D" w14:textId="77777777" w:rsidTr="0073115F">
        <w:trPr>
          <w:tblCellSpacing w:w="15" w:type="dxa"/>
        </w:trPr>
        <w:tc>
          <w:tcPr>
            <w:tcW w:w="0" w:type="auto"/>
            <w:vAlign w:val="center"/>
            <w:hideMark/>
          </w:tcPr>
          <w:p w14:paraId="0C2BA445" w14:textId="77777777" w:rsidR="009B21A1" w:rsidRPr="008366AE" w:rsidRDefault="009B21A1" w:rsidP="0073115F">
            <w:pPr>
              <w:rPr>
                <w:bCs/>
              </w:rPr>
            </w:pPr>
          </w:p>
        </w:tc>
        <w:tc>
          <w:tcPr>
            <w:tcW w:w="0" w:type="auto"/>
            <w:vAlign w:val="center"/>
            <w:hideMark/>
          </w:tcPr>
          <w:p w14:paraId="0149915C" w14:textId="77777777" w:rsidR="009B21A1" w:rsidRPr="008366AE" w:rsidRDefault="009B21A1" w:rsidP="0073115F">
            <w:pPr>
              <w:rPr>
                <w:bCs/>
              </w:rPr>
            </w:pPr>
          </w:p>
        </w:tc>
        <w:tc>
          <w:tcPr>
            <w:tcW w:w="0" w:type="auto"/>
            <w:vAlign w:val="center"/>
            <w:hideMark/>
          </w:tcPr>
          <w:p w14:paraId="7E5A22ED" w14:textId="77777777" w:rsidR="009B21A1" w:rsidRPr="008366AE" w:rsidRDefault="009B21A1" w:rsidP="0073115F">
            <w:pPr>
              <w:rPr>
                <w:bCs/>
              </w:rPr>
            </w:pPr>
            <w:r w:rsidRPr="008366AE">
              <w:rPr>
                <w:bCs/>
              </w:rPr>
              <w:t>Sec 3</w:t>
            </w:r>
          </w:p>
        </w:tc>
        <w:tc>
          <w:tcPr>
            <w:tcW w:w="0" w:type="auto"/>
            <w:vAlign w:val="center"/>
            <w:hideMark/>
          </w:tcPr>
          <w:p w14:paraId="62FADA41" w14:textId="77777777" w:rsidR="009B21A1" w:rsidRPr="008366AE" w:rsidRDefault="009B21A1" w:rsidP="0073115F">
            <w:pPr>
              <w:rPr>
                <w:bCs/>
              </w:rPr>
            </w:pPr>
            <w:r w:rsidRPr="008366AE">
              <w:rPr>
                <w:bCs/>
              </w:rPr>
              <w:t>19</w:t>
            </w:r>
          </w:p>
        </w:tc>
        <w:tc>
          <w:tcPr>
            <w:tcW w:w="0" w:type="auto"/>
            <w:vAlign w:val="center"/>
            <w:hideMark/>
          </w:tcPr>
          <w:p w14:paraId="4C93D417" w14:textId="77777777" w:rsidR="009B21A1" w:rsidRPr="008366AE" w:rsidRDefault="009B21A1" w:rsidP="0073115F">
            <w:pPr>
              <w:rPr>
                <w:bCs/>
              </w:rPr>
            </w:pPr>
            <w:r w:rsidRPr="008366AE">
              <w:rPr>
                <w:bCs/>
              </w:rPr>
              <w:t>81.61%</w:t>
            </w:r>
          </w:p>
        </w:tc>
        <w:tc>
          <w:tcPr>
            <w:tcW w:w="0" w:type="auto"/>
            <w:vAlign w:val="center"/>
            <w:hideMark/>
          </w:tcPr>
          <w:p w14:paraId="5E3C6672" w14:textId="77777777" w:rsidR="009B21A1" w:rsidRPr="008366AE" w:rsidRDefault="009B21A1" w:rsidP="0073115F">
            <w:pPr>
              <w:rPr>
                <w:bCs/>
              </w:rPr>
            </w:pPr>
          </w:p>
        </w:tc>
      </w:tr>
      <w:tr w:rsidR="009B21A1" w:rsidRPr="008366AE" w14:paraId="48CBFDD3" w14:textId="77777777" w:rsidTr="0073115F">
        <w:trPr>
          <w:tblCellSpacing w:w="15" w:type="dxa"/>
        </w:trPr>
        <w:tc>
          <w:tcPr>
            <w:tcW w:w="0" w:type="auto"/>
            <w:vAlign w:val="center"/>
            <w:hideMark/>
          </w:tcPr>
          <w:p w14:paraId="196347A9" w14:textId="77777777" w:rsidR="009B21A1" w:rsidRPr="008366AE" w:rsidRDefault="009B21A1" w:rsidP="0073115F">
            <w:pPr>
              <w:rPr>
                <w:bCs/>
              </w:rPr>
            </w:pPr>
            <w:r w:rsidRPr="008366AE">
              <w:rPr>
                <w:bCs/>
              </w:rPr>
              <w:t>Post-Implementation</w:t>
            </w:r>
          </w:p>
        </w:tc>
        <w:tc>
          <w:tcPr>
            <w:tcW w:w="0" w:type="auto"/>
            <w:vAlign w:val="center"/>
            <w:hideMark/>
          </w:tcPr>
          <w:p w14:paraId="10C0E8CD" w14:textId="77777777" w:rsidR="009B21A1" w:rsidRPr="008366AE" w:rsidRDefault="009B21A1" w:rsidP="0073115F">
            <w:pPr>
              <w:rPr>
                <w:bCs/>
              </w:rPr>
            </w:pPr>
            <w:r w:rsidRPr="008366AE">
              <w:rPr>
                <w:bCs/>
              </w:rPr>
              <w:t>Summer 2025</w:t>
            </w:r>
          </w:p>
        </w:tc>
        <w:tc>
          <w:tcPr>
            <w:tcW w:w="0" w:type="auto"/>
            <w:vAlign w:val="center"/>
            <w:hideMark/>
          </w:tcPr>
          <w:p w14:paraId="53AFC21C" w14:textId="77777777" w:rsidR="009B21A1" w:rsidRPr="008366AE" w:rsidRDefault="009B21A1" w:rsidP="0073115F">
            <w:pPr>
              <w:rPr>
                <w:bCs/>
              </w:rPr>
            </w:pPr>
            <w:r w:rsidRPr="008366AE">
              <w:rPr>
                <w:bCs/>
              </w:rPr>
              <w:t>Sec 1</w:t>
            </w:r>
          </w:p>
        </w:tc>
        <w:tc>
          <w:tcPr>
            <w:tcW w:w="0" w:type="auto"/>
            <w:vAlign w:val="center"/>
            <w:hideMark/>
          </w:tcPr>
          <w:p w14:paraId="18B68A82" w14:textId="77777777" w:rsidR="009B21A1" w:rsidRPr="008366AE" w:rsidRDefault="009B21A1" w:rsidP="0073115F">
            <w:pPr>
              <w:rPr>
                <w:bCs/>
              </w:rPr>
            </w:pPr>
            <w:r w:rsidRPr="008366AE">
              <w:rPr>
                <w:bCs/>
              </w:rPr>
              <w:t>24</w:t>
            </w:r>
          </w:p>
        </w:tc>
        <w:tc>
          <w:tcPr>
            <w:tcW w:w="0" w:type="auto"/>
            <w:vAlign w:val="center"/>
            <w:hideMark/>
          </w:tcPr>
          <w:p w14:paraId="2DEC6B01" w14:textId="77777777" w:rsidR="009B21A1" w:rsidRPr="008366AE" w:rsidRDefault="009B21A1" w:rsidP="0073115F">
            <w:pPr>
              <w:rPr>
                <w:bCs/>
              </w:rPr>
            </w:pPr>
            <w:r w:rsidRPr="008366AE">
              <w:rPr>
                <w:bCs/>
              </w:rPr>
              <w:t>87.00%</w:t>
            </w:r>
          </w:p>
        </w:tc>
        <w:tc>
          <w:tcPr>
            <w:tcW w:w="0" w:type="auto"/>
            <w:vAlign w:val="center"/>
            <w:hideMark/>
          </w:tcPr>
          <w:p w14:paraId="61D1CDAB" w14:textId="77777777" w:rsidR="009B21A1" w:rsidRPr="008366AE" w:rsidRDefault="009B21A1" w:rsidP="0073115F">
            <w:pPr>
              <w:rPr>
                <w:bCs/>
              </w:rPr>
            </w:pPr>
          </w:p>
        </w:tc>
      </w:tr>
      <w:tr w:rsidR="009B21A1" w:rsidRPr="008366AE" w14:paraId="2785F770" w14:textId="77777777" w:rsidTr="0073115F">
        <w:trPr>
          <w:tblCellSpacing w:w="15" w:type="dxa"/>
        </w:trPr>
        <w:tc>
          <w:tcPr>
            <w:tcW w:w="0" w:type="auto"/>
            <w:vAlign w:val="center"/>
            <w:hideMark/>
          </w:tcPr>
          <w:p w14:paraId="54D56649" w14:textId="77777777" w:rsidR="009B21A1" w:rsidRPr="008366AE" w:rsidRDefault="009B21A1" w:rsidP="0073115F">
            <w:pPr>
              <w:rPr>
                <w:bCs/>
              </w:rPr>
            </w:pPr>
          </w:p>
        </w:tc>
        <w:tc>
          <w:tcPr>
            <w:tcW w:w="0" w:type="auto"/>
            <w:vAlign w:val="center"/>
            <w:hideMark/>
          </w:tcPr>
          <w:p w14:paraId="19C1E82C" w14:textId="77777777" w:rsidR="009B21A1" w:rsidRPr="008366AE" w:rsidRDefault="009B21A1" w:rsidP="0073115F">
            <w:pPr>
              <w:rPr>
                <w:bCs/>
              </w:rPr>
            </w:pPr>
          </w:p>
        </w:tc>
        <w:tc>
          <w:tcPr>
            <w:tcW w:w="0" w:type="auto"/>
            <w:vAlign w:val="center"/>
            <w:hideMark/>
          </w:tcPr>
          <w:p w14:paraId="3EF497CE" w14:textId="77777777" w:rsidR="009B21A1" w:rsidRPr="008366AE" w:rsidRDefault="009B21A1" w:rsidP="0073115F">
            <w:pPr>
              <w:rPr>
                <w:bCs/>
              </w:rPr>
            </w:pPr>
            <w:r w:rsidRPr="008366AE">
              <w:rPr>
                <w:bCs/>
              </w:rPr>
              <w:t>Sec 2</w:t>
            </w:r>
          </w:p>
        </w:tc>
        <w:tc>
          <w:tcPr>
            <w:tcW w:w="0" w:type="auto"/>
            <w:vAlign w:val="center"/>
            <w:hideMark/>
          </w:tcPr>
          <w:p w14:paraId="4870A00A" w14:textId="77777777" w:rsidR="009B21A1" w:rsidRPr="008366AE" w:rsidRDefault="009B21A1" w:rsidP="0073115F">
            <w:pPr>
              <w:rPr>
                <w:bCs/>
              </w:rPr>
            </w:pPr>
            <w:r w:rsidRPr="008366AE">
              <w:rPr>
                <w:bCs/>
              </w:rPr>
              <w:t>12</w:t>
            </w:r>
          </w:p>
        </w:tc>
        <w:tc>
          <w:tcPr>
            <w:tcW w:w="0" w:type="auto"/>
            <w:vAlign w:val="center"/>
            <w:hideMark/>
          </w:tcPr>
          <w:p w14:paraId="23B8702F" w14:textId="77777777" w:rsidR="009B21A1" w:rsidRPr="008366AE" w:rsidRDefault="009B21A1" w:rsidP="0073115F">
            <w:pPr>
              <w:rPr>
                <w:bCs/>
              </w:rPr>
            </w:pPr>
            <w:r w:rsidRPr="008366AE">
              <w:rPr>
                <w:bCs/>
              </w:rPr>
              <w:t>87.00%</w:t>
            </w:r>
          </w:p>
        </w:tc>
        <w:tc>
          <w:tcPr>
            <w:tcW w:w="0" w:type="auto"/>
            <w:vAlign w:val="center"/>
            <w:hideMark/>
          </w:tcPr>
          <w:p w14:paraId="75B478AA" w14:textId="77777777" w:rsidR="009B21A1" w:rsidRPr="008366AE" w:rsidRDefault="009B21A1" w:rsidP="0073115F">
            <w:pPr>
              <w:rPr>
                <w:bCs/>
              </w:rPr>
            </w:pPr>
          </w:p>
        </w:tc>
      </w:tr>
      <w:tr w:rsidR="009B21A1" w:rsidRPr="008366AE" w14:paraId="07E511E9" w14:textId="77777777" w:rsidTr="0073115F">
        <w:trPr>
          <w:tblCellSpacing w:w="15" w:type="dxa"/>
        </w:trPr>
        <w:tc>
          <w:tcPr>
            <w:tcW w:w="0" w:type="auto"/>
            <w:vAlign w:val="center"/>
            <w:hideMark/>
          </w:tcPr>
          <w:p w14:paraId="597249E5" w14:textId="77777777" w:rsidR="009B21A1" w:rsidRPr="008366AE" w:rsidRDefault="009B21A1" w:rsidP="0073115F">
            <w:pPr>
              <w:rPr>
                <w:bCs/>
              </w:rPr>
            </w:pPr>
          </w:p>
        </w:tc>
        <w:tc>
          <w:tcPr>
            <w:tcW w:w="0" w:type="auto"/>
            <w:vAlign w:val="center"/>
            <w:hideMark/>
          </w:tcPr>
          <w:p w14:paraId="1089B79A" w14:textId="77777777" w:rsidR="009B21A1" w:rsidRPr="008366AE" w:rsidRDefault="009B21A1" w:rsidP="0073115F">
            <w:pPr>
              <w:rPr>
                <w:bCs/>
              </w:rPr>
            </w:pPr>
            <w:r w:rsidRPr="008366AE">
              <w:rPr>
                <w:bCs/>
              </w:rPr>
              <w:t>Fall 2025</w:t>
            </w:r>
          </w:p>
        </w:tc>
        <w:tc>
          <w:tcPr>
            <w:tcW w:w="0" w:type="auto"/>
            <w:vAlign w:val="center"/>
            <w:hideMark/>
          </w:tcPr>
          <w:p w14:paraId="0E554785" w14:textId="77777777" w:rsidR="009B21A1" w:rsidRPr="008366AE" w:rsidRDefault="009B21A1" w:rsidP="0073115F">
            <w:pPr>
              <w:rPr>
                <w:bCs/>
              </w:rPr>
            </w:pPr>
            <w:r w:rsidRPr="008366AE">
              <w:rPr>
                <w:bCs/>
              </w:rPr>
              <w:t>Sec 1</w:t>
            </w:r>
          </w:p>
        </w:tc>
        <w:tc>
          <w:tcPr>
            <w:tcW w:w="0" w:type="auto"/>
            <w:vAlign w:val="center"/>
            <w:hideMark/>
          </w:tcPr>
          <w:p w14:paraId="78A5721C" w14:textId="77777777" w:rsidR="009B21A1" w:rsidRPr="008366AE" w:rsidRDefault="009B21A1" w:rsidP="0073115F">
            <w:pPr>
              <w:rPr>
                <w:bCs/>
              </w:rPr>
            </w:pPr>
            <w:r w:rsidRPr="008366AE">
              <w:rPr>
                <w:bCs/>
              </w:rPr>
              <w:t>31</w:t>
            </w:r>
          </w:p>
        </w:tc>
        <w:tc>
          <w:tcPr>
            <w:tcW w:w="0" w:type="auto"/>
            <w:vAlign w:val="center"/>
            <w:hideMark/>
          </w:tcPr>
          <w:p w14:paraId="7E17903B" w14:textId="77777777" w:rsidR="009B21A1" w:rsidRPr="008366AE" w:rsidRDefault="009B21A1" w:rsidP="0073115F">
            <w:pPr>
              <w:rPr>
                <w:bCs/>
              </w:rPr>
            </w:pPr>
            <w:r w:rsidRPr="008366AE">
              <w:rPr>
                <w:bCs/>
              </w:rPr>
              <w:t>85.41%</w:t>
            </w:r>
          </w:p>
        </w:tc>
        <w:tc>
          <w:tcPr>
            <w:tcW w:w="0" w:type="auto"/>
            <w:vAlign w:val="center"/>
            <w:hideMark/>
          </w:tcPr>
          <w:p w14:paraId="69053592" w14:textId="77777777" w:rsidR="009B21A1" w:rsidRPr="008366AE" w:rsidRDefault="009B21A1" w:rsidP="0073115F">
            <w:pPr>
              <w:rPr>
                <w:bCs/>
              </w:rPr>
            </w:pPr>
            <w:r w:rsidRPr="008366AE">
              <w:rPr>
                <w:bCs/>
              </w:rPr>
              <w:t>86.11%</w:t>
            </w:r>
          </w:p>
        </w:tc>
      </w:tr>
      <w:tr w:rsidR="009B21A1" w:rsidRPr="008366AE" w14:paraId="5D94B49F" w14:textId="77777777" w:rsidTr="0073115F">
        <w:trPr>
          <w:tblCellSpacing w:w="15" w:type="dxa"/>
        </w:trPr>
        <w:tc>
          <w:tcPr>
            <w:tcW w:w="0" w:type="auto"/>
            <w:vAlign w:val="center"/>
            <w:hideMark/>
          </w:tcPr>
          <w:p w14:paraId="79ECD263" w14:textId="77777777" w:rsidR="009B21A1" w:rsidRPr="008366AE" w:rsidRDefault="009B21A1" w:rsidP="0073115F">
            <w:pPr>
              <w:rPr>
                <w:bCs/>
              </w:rPr>
            </w:pPr>
          </w:p>
        </w:tc>
        <w:tc>
          <w:tcPr>
            <w:tcW w:w="0" w:type="auto"/>
            <w:vAlign w:val="center"/>
            <w:hideMark/>
          </w:tcPr>
          <w:p w14:paraId="0D500964" w14:textId="77777777" w:rsidR="009B21A1" w:rsidRPr="008366AE" w:rsidRDefault="009B21A1" w:rsidP="0073115F">
            <w:pPr>
              <w:rPr>
                <w:bCs/>
              </w:rPr>
            </w:pPr>
          </w:p>
        </w:tc>
        <w:tc>
          <w:tcPr>
            <w:tcW w:w="0" w:type="auto"/>
            <w:vAlign w:val="center"/>
            <w:hideMark/>
          </w:tcPr>
          <w:p w14:paraId="52850AAF" w14:textId="77777777" w:rsidR="009B21A1" w:rsidRPr="008366AE" w:rsidRDefault="009B21A1" w:rsidP="0073115F">
            <w:pPr>
              <w:rPr>
                <w:bCs/>
              </w:rPr>
            </w:pPr>
            <w:r w:rsidRPr="008366AE">
              <w:rPr>
                <w:bCs/>
              </w:rPr>
              <w:t>Sec 2</w:t>
            </w:r>
          </w:p>
        </w:tc>
        <w:tc>
          <w:tcPr>
            <w:tcW w:w="0" w:type="auto"/>
            <w:vAlign w:val="center"/>
            <w:hideMark/>
          </w:tcPr>
          <w:p w14:paraId="54F7AEBE" w14:textId="77777777" w:rsidR="009B21A1" w:rsidRPr="008366AE" w:rsidRDefault="009B21A1" w:rsidP="0073115F">
            <w:pPr>
              <w:rPr>
                <w:bCs/>
              </w:rPr>
            </w:pPr>
            <w:r w:rsidRPr="008366AE">
              <w:rPr>
                <w:bCs/>
              </w:rPr>
              <w:t>31</w:t>
            </w:r>
          </w:p>
        </w:tc>
        <w:tc>
          <w:tcPr>
            <w:tcW w:w="0" w:type="auto"/>
            <w:vAlign w:val="center"/>
            <w:hideMark/>
          </w:tcPr>
          <w:p w14:paraId="3CF7A0B1" w14:textId="77777777" w:rsidR="009B21A1" w:rsidRPr="008366AE" w:rsidRDefault="009B21A1" w:rsidP="0073115F">
            <w:pPr>
              <w:rPr>
                <w:bCs/>
              </w:rPr>
            </w:pPr>
            <w:r w:rsidRPr="008366AE">
              <w:rPr>
                <w:bCs/>
              </w:rPr>
              <w:t>89.19%</w:t>
            </w:r>
          </w:p>
        </w:tc>
        <w:tc>
          <w:tcPr>
            <w:tcW w:w="0" w:type="auto"/>
            <w:vAlign w:val="center"/>
            <w:hideMark/>
          </w:tcPr>
          <w:p w14:paraId="02DC6ED6" w14:textId="77777777" w:rsidR="009B21A1" w:rsidRPr="008366AE" w:rsidRDefault="009B21A1" w:rsidP="0073115F">
            <w:pPr>
              <w:rPr>
                <w:bCs/>
              </w:rPr>
            </w:pPr>
          </w:p>
        </w:tc>
      </w:tr>
      <w:tr w:rsidR="009B21A1" w:rsidRPr="008366AE" w14:paraId="0974EC40" w14:textId="77777777" w:rsidTr="0073115F">
        <w:trPr>
          <w:tblCellSpacing w:w="15" w:type="dxa"/>
        </w:trPr>
        <w:tc>
          <w:tcPr>
            <w:tcW w:w="0" w:type="auto"/>
            <w:vAlign w:val="center"/>
            <w:hideMark/>
          </w:tcPr>
          <w:p w14:paraId="2CE23066" w14:textId="77777777" w:rsidR="009B21A1" w:rsidRPr="008366AE" w:rsidRDefault="009B21A1" w:rsidP="0073115F">
            <w:pPr>
              <w:rPr>
                <w:bCs/>
              </w:rPr>
            </w:pPr>
          </w:p>
        </w:tc>
        <w:tc>
          <w:tcPr>
            <w:tcW w:w="0" w:type="auto"/>
            <w:vAlign w:val="center"/>
            <w:hideMark/>
          </w:tcPr>
          <w:p w14:paraId="7C679477" w14:textId="77777777" w:rsidR="009B21A1" w:rsidRPr="008366AE" w:rsidRDefault="009B21A1" w:rsidP="0073115F">
            <w:pPr>
              <w:rPr>
                <w:bCs/>
              </w:rPr>
            </w:pPr>
          </w:p>
        </w:tc>
        <w:tc>
          <w:tcPr>
            <w:tcW w:w="0" w:type="auto"/>
            <w:vAlign w:val="center"/>
            <w:hideMark/>
          </w:tcPr>
          <w:p w14:paraId="2CB78A26" w14:textId="77777777" w:rsidR="009B21A1" w:rsidRPr="008366AE" w:rsidRDefault="009B21A1" w:rsidP="0073115F">
            <w:pPr>
              <w:rPr>
                <w:bCs/>
              </w:rPr>
            </w:pPr>
            <w:r w:rsidRPr="008366AE">
              <w:rPr>
                <w:bCs/>
              </w:rPr>
              <w:t>Sec 3</w:t>
            </w:r>
          </w:p>
        </w:tc>
        <w:tc>
          <w:tcPr>
            <w:tcW w:w="0" w:type="auto"/>
            <w:vAlign w:val="center"/>
            <w:hideMark/>
          </w:tcPr>
          <w:p w14:paraId="183BA375" w14:textId="77777777" w:rsidR="009B21A1" w:rsidRPr="008366AE" w:rsidRDefault="009B21A1" w:rsidP="0073115F">
            <w:pPr>
              <w:rPr>
                <w:bCs/>
              </w:rPr>
            </w:pPr>
            <w:r w:rsidRPr="008366AE">
              <w:rPr>
                <w:bCs/>
              </w:rPr>
              <w:t>35</w:t>
            </w:r>
          </w:p>
        </w:tc>
        <w:tc>
          <w:tcPr>
            <w:tcW w:w="0" w:type="auto"/>
            <w:vAlign w:val="center"/>
            <w:hideMark/>
          </w:tcPr>
          <w:p w14:paraId="42FA7634" w14:textId="77777777" w:rsidR="009B21A1" w:rsidRPr="008366AE" w:rsidRDefault="009B21A1" w:rsidP="0073115F">
            <w:pPr>
              <w:rPr>
                <w:bCs/>
              </w:rPr>
            </w:pPr>
            <w:r w:rsidRPr="008366AE">
              <w:rPr>
                <w:bCs/>
              </w:rPr>
              <w:t>83.08%</w:t>
            </w:r>
          </w:p>
        </w:tc>
        <w:tc>
          <w:tcPr>
            <w:tcW w:w="0" w:type="auto"/>
            <w:vAlign w:val="center"/>
            <w:hideMark/>
          </w:tcPr>
          <w:p w14:paraId="1D95734C" w14:textId="77777777" w:rsidR="009B21A1" w:rsidRPr="008366AE" w:rsidRDefault="009B21A1" w:rsidP="0073115F">
            <w:pPr>
              <w:rPr>
                <w:bCs/>
              </w:rPr>
            </w:pPr>
          </w:p>
        </w:tc>
      </w:tr>
    </w:tbl>
    <w:p w14:paraId="24A93059" w14:textId="77777777" w:rsidR="00301979" w:rsidRDefault="00301979" w:rsidP="009B21A1">
      <w:pPr>
        <w:spacing w:after="160" w:line="259" w:lineRule="auto"/>
        <w:ind w:left="720"/>
        <w:rPr>
          <w:bCs/>
        </w:rPr>
      </w:pPr>
    </w:p>
    <w:p w14:paraId="14F3577C" w14:textId="7EC2BDB5" w:rsidR="009B21A1" w:rsidRPr="008366AE" w:rsidRDefault="009B21A1" w:rsidP="00301979">
      <w:pPr>
        <w:spacing w:after="160" w:line="259" w:lineRule="auto"/>
        <w:rPr>
          <w:bCs/>
        </w:rPr>
      </w:pPr>
      <w:r w:rsidRPr="008366AE">
        <w:rPr>
          <w:bCs/>
          <w:i/>
          <w:iCs/>
          <w:u w:val="single"/>
        </w:rPr>
        <w:t>Stable Averages</w:t>
      </w:r>
      <w:r w:rsidRPr="008366AE">
        <w:rPr>
          <w:bCs/>
        </w:rPr>
        <w:t xml:space="preserve">: The weighted average of the class medians remained virtually unchanged (86.31% Pre vs. 86.11% Post). This indicates that the new OER materials maintained the high academic standards of the course </w:t>
      </w:r>
      <w:r w:rsidR="00644D72">
        <w:rPr>
          <w:bCs/>
        </w:rPr>
        <w:t xml:space="preserve">and </w:t>
      </w:r>
      <w:r w:rsidRPr="008366AE">
        <w:rPr>
          <w:bCs/>
        </w:rPr>
        <w:t>did not artificially inflate grades or dumb down the content.</w:t>
      </w:r>
    </w:p>
    <w:p w14:paraId="566FF85A" w14:textId="77777777" w:rsidR="009B21A1" w:rsidRPr="008366AE" w:rsidRDefault="009B21A1" w:rsidP="006D5ADC">
      <w:pPr>
        <w:spacing w:after="160" w:line="259" w:lineRule="auto"/>
        <w:rPr>
          <w:bCs/>
        </w:rPr>
      </w:pPr>
      <w:r w:rsidRPr="008366AE">
        <w:rPr>
          <w:bCs/>
          <w:i/>
          <w:iCs/>
          <w:u w:val="single"/>
        </w:rPr>
        <w:t>Raising the Floor (Outlier Improvement)</w:t>
      </w:r>
      <w:r w:rsidRPr="008366AE">
        <w:rPr>
          <w:bCs/>
        </w:rPr>
        <w:t xml:space="preserve">: A critical finding is the improvement in the lowest performing sections. In the Pre-Implementation phase, Section 3 had a median of 81.61%. In the post-implementation phase, the lowest median (Fall Section 3) rose to 83.08%. </w:t>
      </w:r>
      <w:r w:rsidRPr="00530118">
        <w:rPr>
          <w:bCs/>
        </w:rPr>
        <w:t>This confirms that the OER materials were rigorous and that the reduction in DFW rates was not a result of grade inflation, but rather improved comprehension among the lower quartile of the class</w:t>
      </w:r>
      <w:r>
        <w:rPr>
          <w:bCs/>
        </w:rPr>
        <w:t>: students who are at risk of failing.</w:t>
      </w:r>
    </w:p>
    <w:p w14:paraId="6E191CB0" w14:textId="77777777" w:rsidR="009B21A1" w:rsidRPr="00E80ED5" w:rsidRDefault="009B21A1" w:rsidP="009B21A1"/>
    <w:p w14:paraId="546E7596" w14:textId="77777777" w:rsidR="009B21A1" w:rsidRDefault="009B21A1" w:rsidP="009B21A1">
      <w:pPr>
        <w:ind w:left="1080"/>
        <w:rPr>
          <w:b/>
        </w:rPr>
      </w:pPr>
      <w:r w:rsidRPr="00987DD6">
        <w:rPr>
          <w:b/>
        </w:rPr>
        <w:t xml:space="preserve">Was the </w:t>
      </w:r>
      <w:r>
        <w:rPr>
          <w:b/>
        </w:rPr>
        <w:t xml:space="preserve">overall comparative impact on </w:t>
      </w:r>
      <w:r w:rsidRPr="00987DD6">
        <w:rPr>
          <w:b/>
        </w:rPr>
        <w:t>student performance in terms of learning outcomes and grades in the semester</w:t>
      </w:r>
      <w:r>
        <w:rPr>
          <w:b/>
        </w:rPr>
        <w:t>(s)</w:t>
      </w:r>
      <w:r w:rsidRPr="00987DD6">
        <w:rPr>
          <w:b/>
        </w:rPr>
        <w:t xml:space="preserve"> of implementation </w:t>
      </w:r>
      <w:r>
        <w:rPr>
          <w:b/>
        </w:rPr>
        <w:t>over previous semesters positive, neutral, or negative?</w:t>
      </w:r>
    </w:p>
    <w:p w14:paraId="2CA1D9AE" w14:textId="77777777" w:rsidR="009B21A1" w:rsidRPr="003F4D85" w:rsidRDefault="009B21A1" w:rsidP="009B21A1">
      <w:pPr>
        <w:ind w:left="1080"/>
        <w:rPr>
          <w:b/>
        </w:rPr>
      </w:pPr>
      <w:r w:rsidRPr="003F4D85">
        <w:rPr>
          <w:i/>
        </w:rPr>
        <w:t xml:space="preserve">Student outcomes should be described in detail in Section 3b. </w:t>
      </w:r>
      <w:r w:rsidRPr="003F4D85">
        <w:t xml:space="preserve">      </w:t>
      </w:r>
    </w:p>
    <w:p w14:paraId="5828A80C" w14:textId="77777777" w:rsidR="009B21A1" w:rsidRPr="00071B22" w:rsidRDefault="009B21A1" w:rsidP="009B21A1">
      <w:pPr>
        <w:pStyle w:val="ListParagraph"/>
        <w:ind w:left="1080"/>
      </w:pPr>
      <w:r w:rsidRPr="00071B22">
        <w:t xml:space="preserve">Choose One:  </w:t>
      </w:r>
    </w:p>
    <w:p w14:paraId="2AC3CB46" w14:textId="77777777" w:rsidR="009B21A1" w:rsidRPr="00071B22" w:rsidRDefault="009B21A1" w:rsidP="009B21A1">
      <w:pPr>
        <w:pStyle w:val="ListParagraph"/>
        <w:numPr>
          <w:ilvl w:val="0"/>
          <w:numId w:val="5"/>
        </w:numPr>
        <w:ind w:left="1800"/>
      </w:pPr>
      <w:r>
        <w:t xml:space="preserve">___ Positive: Higher performance outcomes measured over </w:t>
      </w:r>
      <w:r w:rsidRPr="00071B22">
        <w:t>previous semester(s)</w:t>
      </w:r>
    </w:p>
    <w:p w14:paraId="3459FA06" w14:textId="77777777" w:rsidR="009B21A1" w:rsidRPr="00071B22" w:rsidRDefault="009B21A1" w:rsidP="009B21A1">
      <w:pPr>
        <w:pStyle w:val="ListParagraph"/>
        <w:numPr>
          <w:ilvl w:val="0"/>
          <w:numId w:val="5"/>
        </w:numPr>
        <w:ind w:left="1800"/>
      </w:pPr>
      <w:r w:rsidRPr="008B4361">
        <w:rPr>
          <w:b/>
          <w:bCs/>
        </w:rPr>
        <w:t>X</w:t>
      </w:r>
      <w:r>
        <w:t>___ Neutral: S</w:t>
      </w:r>
      <w:r w:rsidRPr="00071B22">
        <w:t xml:space="preserve">ame </w:t>
      </w:r>
      <w:r>
        <w:t>performance outcomes over previous semester(s)</w:t>
      </w:r>
    </w:p>
    <w:p w14:paraId="7AD9777E" w14:textId="77777777" w:rsidR="009B21A1" w:rsidRDefault="009B21A1" w:rsidP="009B21A1">
      <w:pPr>
        <w:pStyle w:val="ListParagraph"/>
        <w:numPr>
          <w:ilvl w:val="0"/>
          <w:numId w:val="5"/>
        </w:numPr>
        <w:ind w:left="1800"/>
      </w:pPr>
      <w:r w:rsidRPr="00071B22">
        <w:t>___</w:t>
      </w:r>
      <w:r>
        <w:t xml:space="preserve"> </w:t>
      </w:r>
      <w:r w:rsidRPr="00071B22">
        <w:t xml:space="preserve">Negative: </w:t>
      </w:r>
      <w:r>
        <w:t>Lower performance outcomes over previous semester(s)</w:t>
      </w:r>
      <w:r w:rsidRPr="00071B22">
        <w:t xml:space="preserve"> </w:t>
      </w:r>
    </w:p>
    <w:p w14:paraId="52CAE984" w14:textId="77777777" w:rsidR="00917838" w:rsidRDefault="00917838" w:rsidP="00917838">
      <w:pPr>
        <w:pStyle w:val="ListParagraph"/>
        <w:ind w:left="1800"/>
      </w:pPr>
    </w:p>
    <w:p w14:paraId="03CA0946" w14:textId="77777777" w:rsidR="009B21A1" w:rsidRDefault="009B21A1" w:rsidP="009B21A1"/>
    <w:p w14:paraId="3D1915EB" w14:textId="2C93D1D3" w:rsidR="009B21A1" w:rsidRPr="00917838" w:rsidRDefault="003A340C" w:rsidP="009B21A1">
      <w:pPr>
        <w:rPr>
          <w:b/>
          <w:i/>
          <w:iCs/>
        </w:rPr>
      </w:pPr>
      <w:r w:rsidRPr="00917838">
        <w:rPr>
          <w:b/>
          <w:i/>
          <w:iCs/>
        </w:rPr>
        <w:lastRenderedPageBreak/>
        <w:t xml:space="preserve">3.3 </w:t>
      </w:r>
      <w:r w:rsidR="009B21A1" w:rsidRPr="00917838">
        <w:rPr>
          <w:b/>
          <w:i/>
          <w:iCs/>
        </w:rPr>
        <w:t>Student Drop/Fail/Withdraw (DFW) Rates</w:t>
      </w:r>
    </w:p>
    <w:p w14:paraId="6DDE0B8F" w14:textId="77777777" w:rsidR="008C2B0C" w:rsidRDefault="008C2B0C" w:rsidP="009B21A1">
      <w:pPr>
        <w:ind w:left="1080"/>
        <w:rPr>
          <w:b/>
        </w:rPr>
      </w:pPr>
    </w:p>
    <w:p w14:paraId="066AB729" w14:textId="7801887D" w:rsidR="009B21A1" w:rsidRDefault="009B21A1" w:rsidP="009B21A1">
      <w:pPr>
        <w:ind w:left="1080"/>
        <w:rPr>
          <w:b/>
        </w:rPr>
      </w:pPr>
      <w:r w:rsidRPr="00987DD6">
        <w:rPr>
          <w:b/>
        </w:rPr>
        <w:t xml:space="preserve">Was the </w:t>
      </w:r>
      <w:r>
        <w:rPr>
          <w:b/>
        </w:rPr>
        <w:t xml:space="preserve">overall comparative impact on </w:t>
      </w:r>
      <w:r w:rsidRPr="0073273B">
        <w:rPr>
          <w:b/>
        </w:rPr>
        <w:t>Drop/Fail/Withdraw (DFW) rates</w:t>
      </w:r>
      <w:r w:rsidRPr="00987DD6">
        <w:rPr>
          <w:b/>
        </w:rPr>
        <w:t xml:space="preserve"> in the semester</w:t>
      </w:r>
      <w:r>
        <w:rPr>
          <w:b/>
        </w:rPr>
        <w:t>(s)</w:t>
      </w:r>
      <w:r w:rsidRPr="00987DD6">
        <w:rPr>
          <w:b/>
        </w:rPr>
        <w:t xml:space="preserve"> of implementation </w:t>
      </w:r>
      <w:r>
        <w:rPr>
          <w:b/>
        </w:rPr>
        <w:t>over previous semesters positive, neutral, or negative?</w:t>
      </w:r>
    </w:p>
    <w:p w14:paraId="47014AC1" w14:textId="77777777" w:rsidR="009B21A1" w:rsidRDefault="009B21A1" w:rsidP="009B21A1">
      <w:pPr>
        <w:ind w:left="1080"/>
        <w:rPr>
          <w:i/>
        </w:rPr>
      </w:pPr>
    </w:p>
    <w:p w14:paraId="179DA40F" w14:textId="77777777" w:rsidR="009B21A1" w:rsidRPr="0033401E" w:rsidRDefault="009B21A1" w:rsidP="009B21A1">
      <w:pPr>
        <w:ind w:left="1080"/>
        <w:rPr>
          <w:i/>
        </w:rPr>
      </w:pPr>
      <w:r>
        <w:rPr>
          <w:i/>
        </w:rPr>
        <w:t>Depending on what you and your institution can measure, this may also be known as a drop/failure rate or a withdraw/failure rate.</w:t>
      </w:r>
    </w:p>
    <w:p w14:paraId="15AB940A" w14:textId="77777777" w:rsidR="009B21A1" w:rsidRPr="001E0EE3" w:rsidRDefault="009B21A1" w:rsidP="009B21A1">
      <w:pPr>
        <w:ind w:left="1080"/>
      </w:pPr>
      <w:r w:rsidRPr="003925ED">
        <w:rPr>
          <w:b/>
          <w:bCs/>
          <w:u w:val="single"/>
        </w:rPr>
        <w:t>1.5</w:t>
      </w:r>
      <w:r>
        <w:t xml:space="preserve"> </w:t>
      </w:r>
      <w:r w:rsidRPr="001E0EE3">
        <w:t>%</w:t>
      </w:r>
      <w:r>
        <w:t xml:space="preserve"> (two)</w:t>
      </w:r>
      <w:r w:rsidRPr="001E0EE3">
        <w:t xml:space="preserve"> of students, out of a total </w:t>
      </w:r>
      <w:r>
        <w:t>133</w:t>
      </w:r>
      <w:r w:rsidRPr="001E0EE3">
        <w:t xml:space="preserve"> students affected, </w:t>
      </w:r>
      <w:r>
        <w:t>d</w:t>
      </w:r>
      <w:r w:rsidRPr="001E0EE3">
        <w:t xml:space="preserve">ropped/failed/withdrew from the course in the final semester of implementation. </w:t>
      </w:r>
    </w:p>
    <w:p w14:paraId="725B0D22" w14:textId="77777777" w:rsidR="009B21A1" w:rsidRPr="00071B22" w:rsidRDefault="009B21A1" w:rsidP="009B21A1">
      <w:pPr>
        <w:ind w:left="1080"/>
      </w:pPr>
      <w:r w:rsidRPr="00071B22">
        <w:t xml:space="preserve">Choose One:  </w:t>
      </w:r>
    </w:p>
    <w:p w14:paraId="2A13D8D3" w14:textId="77777777" w:rsidR="009B21A1" w:rsidRPr="00071B22" w:rsidRDefault="009B21A1" w:rsidP="009B21A1">
      <w:pPr>
        <w:pStyle w:val="ListParagraph"/>
        <w:numPr>
          <w:ilvl w:val="0"/>
          <w:numId w:val="4"/>
        </w:numPr>
        <w:ind w:left="1800"/>
      </w:pPr>
      <w:r>
        <w:t xml:space="preserve">_x__ </w:t>
      </w:r>
      <w:r w:rsidRPr="00071B22">
        <w:t xml:space="preserve">Positive: </w:t>
      </w:r>
      <w:r>
        <w:t>This is a lower percentage of</w:t>
      </w:r>
      <w:r w:rsidRPr="00071B22">
        <w:t xml:space="preserve"> students with </w:t>
      </w:r>
      <w:r>
        <w:t>D/F/W than previous semester(s)</w:t>
      </w:r>
    </w:p>
    <w:p w14:paraId="5671D9B6" w14:textId="77777777" w:rsidR="009B21A1" w:rsidRPr="00071B22" w:rsidRDefault="009B21A1" w:rsidP="009B21A1">
      <w:pPr>
        <w:pStyle w:val="ListParagraph"/>
        <w:numPr>
          <w:ilvl w:val="0"/>
          <w:numId w:val="4"/>
        </w:numPr>
        <w:ind w:left="1800"/>
      </w:pPr>
      <w:r>
        <w:t>___ Neutral: This is the s</w:t>
      </w:r>
      <w:r w:rsidRPr="00071B22">
        <w:t xml:space="preserve">ame </w:t>
      </w:r>
      <w:r>
        <w:t>percentage</w:t>
      </w:r>
      <w:r w:rsidRPr="00071B22">
        <w:t xml:space="preserve"> of students with D/F/W than previous semester(s)</w:t>
      </w:r>
    </w:p>
    <w:p w14:paraId="68BA0AC2" w14:textId="77777777" w:rsidR="009B21A1" w:rsidRPr="00F60E0E" w:rsidRDefault="009B21A1" w:rsidP="009B21A1">
      <w:pPr>
        <w:pStyle w:val="ListParagraph"/>
        <w:numPr>
          <w:ilvl w:val="0"/>
          <w:numId w:val="4"/>
        </w:numPr>
        <w:ind w:left="1800"/>
        <w:rPr>
          <w:b/>
        </w:rPr>
      </w:pPr>
      <w:r w:rsidRPr="00071B22">
        <w:t xml:space="preserve">___ Negative: </w:t>
      </w:r>
      <w:r>
        <w:t>This is a hig</w:t>
      </w:r>
      <w:r w:rsidRPr="00071B22">
        <w:t xml:space="preserve">her </w:t>
      </w:r>
      <w:r>
        <w:t>percentage</w:t>
      </w:r>
      <w:r w:rsidRPr="00071B22">
        <w:t xml:space="preserve"> of students with </w:t>
      </w:r>
      <w:r>
        <w:t>D/F/W than previous semester(s)</w:t>
      </w:r>
    </w:p>
    <w:p w14:paraId="443BA70B" w14:textId="77777777" w:rsidR="009B21A1" w:rsidRDefault="009B21A1" w:rsidP="009B21A1">
      <w:pPr>
        <w:rPr>
          <w:rFonts w:eastAsia="Google Sans Text"/>
          <w:bCs/>
        </w:rPr>
      </w:pPr>
    </w:p>
    <w:p w14:paraId="2D89A82C" w14:textId="180A4545" w:rsidR="008049B8" w:rsidRPr="008049B8" w:rsidRDefault="008049B8" w:rsidP="00917838">
      <w:pPr>
        <w:spacing w:line="259" w:lineRule="auto"/>
        <w:rPr>
          <w:rFonts w:eastAsia="Google Sans Text"/>
          <w:bCs/>
          <w:i/>
          <w:iCs/>
          <w:u w:val="single"/>
        </w:rPr>
      </w:pPr>
      <w:r w:rsidRPr="008049B8">
        <w:rPr>
          <w:rFonts w:eastAsia="Google Sans Text"/>
          <w:bCs/>
          <w:i/>
          <w:iCs/>
          <w:u w:val="single"/>
        </w:rPr>
        <w:t>Description</w:t>
      </w:r>
    </w:p>
    <w:p w14:paraId="3F84206C" w14:textId="382CE63E" w:rsidR="009B21A1" w:rsidRDefault="009B21A1" w:rsidP="00917838">
      <w:pPr>
        <w:spacing w:line="259" w:lineRule="auto"/>
        <w:rPr>
          <w:bCs/>
        </w:rPr>
      </w:pPr>
      <w:r w:rsidRPr="00F60E0E">
        <w:rPr>
          <w:rFonts w:eastAsia="Google Sans Text"/>
          <w:bCs/>
        </w:rPr>
        <w:t xml:space="preserve">The quantitative results of this transformation are </w:t>
      </w:r>
      <w:r>
        <w:rPr>
          <w:bCs/>
        </w:rPr>
        <w:t>significant</w:t>
      </w:r>
      <w:r w:rsidRPr="00F60E0E">
        <w:rPr>
          <w:rFonts w:eastAsia="Google Sans Text"/>
          <w:bCs/>
        </w:rPr>
        <w:t xml:space="preserve">. In the semesters following implementation (Summer and Fall 2025), the rate of students receiving a grade of 'D' plummeted from 5.33% (4 out of 75 students) in the pre-implementation phase to 1.50% (2 out of 133 students) post-implementation. This reduction in poor performance occurred despite a near-doubling of the student cohort, suggesting that the pedagogical intervention </w:t>
      </w:r>
      <w:proofErr w:type="gramStart"/>
      <w:r w:rsidRPr="00F60E0E">
        <w:rPr>
          <w:rFonts w:eastAsia="Google Sans Text"/>
          <w:bCs/>
        </w:rPr>
        <w:t>successfully</w:t>
      </w:r>
      <w:proofErr w:type="gramEnd"/>
      <w:r w:rsidRPr="00F60E0E">
        <w:rPr>
          <w:rFonts w:eastAsia="Google Sans Text"/>
          <w:bCs/>
        </w:rPr>
        <w:t xml:space="preserve"> scaled without diluting educational quality. Furthermore, the initiative generated immediate direct savings of $2</w:t>
      </w:r>
      <w:r>
        <w:rPr>
          <w:rFonts w:eastAsia="Google Sans Text"/>
          <w:bCs/>
        </w:rPr>
        <w:t>3,275</w:t>
      </w:r>
      <w:r w:rsidRPr="00F60E0E">
        <w:rPr>
          <w:rFonts w:eastAsia="Google Sans Text"/>
          <w:bCs/>
        </w:rPr>
        <w:t xml:space="preserve"> for the affected student body, with </w:t>
      </w:r>
      <w:proofErr w:type="gramStart"/>
      <w:r w:rsidRPr="00F60E0E">
        <w:rPr>
          <w:rFonts w:eastAsia="Google Sans Text"/>
          <w:bCs/>
        </w:rPr>
        <w:t>a projected</w:t>
      </w:r>
      <w:proofErr w:type="gramEnd"/>
      <w:r w:rsidRPr="00F60E0E">
        <w:rPr>
          <w:rFonts w:eastAsia="Google Sans Text"/>
          <w:bCs/>
        </w:rPr>
        <w:t xml:space="preserve"> annualized recurring savings of over $</w:t>
      </w:r>
      <w:r>
        <w:rPr>
          <w:rFonts w:eastAsia="Google Sans Text"/>
          <w:bCs/>
        </w:rPr>
        <w:t>47</w:t>
      </w:r>
      <w:r w:rsidRPr="00F60E0E">
        <w:rPr>
          <w:rFonts w:eastAsia="Google Sans Text"/>
          <w:bCs/>
        </w:rPr>
        <w:t>,</w:t>
      </w:r>
      <w:r>
        <w:rPr>
          <w:rFonts w:eastAsia="Google Sans Text"/>
          <w:bCs/>
        </w:rPr>
        <w:t>250</w:t>
      </w:r>
      <w:r>
        <w:rPr>
          <w:bCs/>
        </w:rPr>
        <w:t xml:space="preserve">. </w:t>
      </w:r>
    </w:p>
    <w:p w14:paraId="447CF370" w14:textId="77777777" w:rsidR="00917838" w:rsidRPr="00F60E0E" w:rsidRDefault="00917838" w:rsidP="00917838">
      <w:pPr>
        <w:spacing w:line="259" w:lineRule="auto"/>
        <w:rPr>
          <w:bCs/>
        </w:rPr>
      </w:pPr>
    </w:p>
    <w:p w14:paraId="083AC9F2" w14:textId="77777777" w:rsidR="00606A97" w:rsidRPr="00917838" w:rsidRDefault="003A340C" w:rsidP="00606A97">
      <w:pPr>
        <w:spacing w:after="160" w:line="259" w:lineRule="auto"/>
        <w:rPr>
          <w:rFonts w:eastAsiaTheme="minorHAnsi"/>
          <w:bCs/>
          <w:i/>
          <w:iCs/>
        </w:rPr>
      </w:pPr>
      <w:r w:rsidRPr="00917838">
        <w:rPr>
          <w:b/>
          <w:i/>
          <w:iCs/>
        </w:rPr>
        <w:t xml:space="preserve">3.4 </w:t>
      </w:r>
      <w:r w:rsidR="00606A97" w:rsidRPr="00917838">
        <w:rPr>
          <w:rFonts w:eastAsiaTheme="minorHAnsi"/>
          <w:b/>
          <w:bCs/>
          <w:i/>
          <w:iCs/>
        </w:rPr>
        <w:t>Limitations of Proposed Measures: Enrollment and D2L Access Rates</w:t>
      </w:r>
      <w:r w:rsidR="00606A97" w:rsidRPr="00917838">
        <w:rPr>
          <w:rFonts w:eastAsiaTheme="minorHAnsi"/>
          <w:bCs/>
          <w:i/>
          <w:iCs/>
        </w:rPr>
        <w:t> </w:t>
      </w:r>
    </w:p>
    <w:p w14:paraId="74ADDC4E" w14:textId="5B345A97" w:rsidR="00606A97" w:rsidRPr="00606A97" w:rsidRDefault="00606A97" w:rsidP="00606A97">
      <w:pPr>
        <w:spacing w:after="160" w:line="259" w:lineRule="auto"/>
        <w:rPr>
          <w:b/>
        </w:rPr>
      </w:pPr>
      <w:r w:rsidRPr="00606A97">
        <w:rPr>
          <w:rFonts w:eastAsiaTheme="minorHAnsi"/>
          <w:bCs/>
        </w:rPr>
        <w:t>While the initial proposal aimed to track </w:t>
      </w:r>
      <w:r w:rsidR="000E7A90">
        <w:rPr>
          <w:rFonts w:eastAsiaTheme="minorHAnsi"/>
          <w:bCs/>
        </w:rPr>
        <w:t>e</w:t>
      </w:r>
      <w:r w:rsidRPr="00606A97">
        <w:rPr>
          <w:rFonts w:eastAsiaTheme="minorHAnsi"/>
          <w:b/>
          <w:bCs/>
        </w:rPr>
        <w:t xml:space="preserve">nrollment </w:t>
      </w:r>
      <w:r w:rsidR="000E7A90">
        <w:rPr>
          <w:rFonts w:eastAsiaTheme="minorHAnsi"/>
          <w:b/>
          <w:bCs/>
        </w:rPr>
        <w:t>r</w:t>
      </w:r>
      <w:r w:rsidRPr="00606A97">
        <w:rPr>
          <w:rFonts w:eastAsiaTheme="minorHAnsi"/>
          <w:b/>
          <w:bCs/>
        </w:rPr>
        <w:t>ates</w:t>
      </w:r>
      <w:r w:rsidRPr="00606A97">
        <w:rPr>
          <w:rFonts w:eastAsiaTheme="minorHAnsi"/>
          <w:bCs/>
        </w:rPr>
        <w:t> and </w:t>
      </w:r>
      <w:r w:rsidRPr="00606A97">
        <w:rPr>
          <w:rFonts w:eastAsiaTheme="minorHAnsi"/>
          <w:b/>
          <w:bCs/>
        </w:rPr>
        <w:t xml:space="preserve">D2L </w:t>
      </w:r>
      <w:r w:rsidR="000E7A90">
        <w:rPr>
          <w:rFonts w:eastAsiaTheme="minorHAnsi"/>
          <w:b/>
          <w:bCs/>
        </w:rPr>
        <w:t>a</w:t>
      </w:r>
      <w:r w:rsidRPr="00606A97">
        <w:rPr>
          <w:rFonts w:eastAsiaTheme="minorHAnsi"/>
          <w:b/>
          <w:bCs/>
        </w:rPr>
        <w:t xml:space="preserve">ccess </w:t>
      </w:r>
      <w:r w:rsidR="000E7A90">
        <w:rPr>
          <w:rFonts w:eastAsiaTheme="minorHAnsi"/>
          <w:b/>
          <w:bCs/>
        </w:rPr>
        <w:t>r</w:t>
      </w:r>
      <w:r w:rsidRPr="00606A97">
        <w:rPr>
          <w:rFonts w:eastAsiaTheme="minorHAnsi"/>
          <w:b/>
          <w:bCs/>
        </w:rPr>
        <w:t>ates</w:t>
      </w:r>
      <w:r w:rsidRPr="00606A97">
        <w:rPr>
          <w:rFonts w:eastAsiaTheme="minorHAnsi"/>
          <w:bCs/>
        </w:rPr>
        <w:t> as indicators of project success, these metrics ultimately proved insufficient for meaningful quantitative assessment due to external variables:</w:t>
      </w:r>
    </w:p>
    <w:p w14:paraId="4CE9927F" w14:textId="77777777" w:rsidR="00606A97" w:rsidRPr="00606A97" w:rsidRDefault="00606A97" w:rsidP="00606A97">
      <w:pPr>
        <w:numPr>
          <w:ilvl w:val="0"/>
          <w:numId w:val="31"/>
        </w:numPr>
        <w:spacing w:after="160" w:line="259" w:lineRule="auto"/>
        <w:rPr>
          <w:rFonts w:eastAsiaTheme="minorHAnsi"/>
          <w:bCs/>
        </w:rPr>
      </w:pPr>
      <w:r w:rsidRPr="00606A97">
        <w:rPr>
          <w:rFonts w:eastAsiaTheme="minorHAnsi"/>
          <w:b/>
          <w:bCs/>
        </w:rPr>
        <w:t>Enrollment Rates:</w:t>
      </w:r>
      <w:r w:rsidRPr="00606A97">
        <w:rPr>
          <w:rFonts w:eastAsiaTheme="minorHAnsi"/>
          <w:bCs/>
        </w:rPr>
        <w:t> Kennesaw State University has experienced consistent annual growth in overall student enrollment. Furthermore, </w:t>
      </w:r>
      <w:r w:rsidRPr="00606A97">
        <w:rPr>
          <w:rFonts w:eastAsiaTheme="minorHAnsi"/>
          <w:bCs/>
          <w:i/>
          <w:iCs/>
        </w:rPr>
        <w:t>CM 3800 Construction Finance</w:t>
      </w:r>
      <w:r w:rsidRPr="00606A97">
        <w:rPr>
          <w:rFonts w:eastAsiaTheme="minorHAnsi"/>
          <w:bCs/>
        </w:rPr>
        <w:t> is a core requirement for the Construction Management degree. Consequently, fluctuations in section enrollment are driven by university-wide trends and degree requirements rather than the specific cost or format of course materials.</w:t>
      </w:r>
    </w:p>
    <w:p w14:paraId="3007EEB0" w14:textId="4DC0BEE1" w:rsidR="005E5FF6" w:rsidRPr="00917838" w:rsidRDefault="00606A97" w:rsidP="005204F9">
      <w:pPr>
        <w:numPr>
          <w:ilvl w:val="0"/>
          <w:numId w:val="31"/>
        </w:numPr>
        <w:spacing w:after="160" w:line="259" w:lineRule="auto"/>
        <w:rPr>
          <w:rFonts w:asciiTheme="minorHAnsi" w:eastAsiaTheme="minorHAnsi" w:hAnsiTheme="minorHAnsi" w:cstheme="minorBidi"/>
          <w:bCs/>
        </w:rPr>
      </w:pPr>
      <w:r w:rsidRPr="00917838">
        <w:rPr>
          <w:rFonts w:eastAsiaTheme="minorHAnsi"/>
          <w:b/>
          <w:bCs/>
        </w:rPr>
        <w:t>D2L Access Rates:</w:t>
      </w:r>
      <w:r w:rsidRPr="00917838">
        <w:rPr>
          <w:rFonts w:eastAsiaTheme="minorHAnsi"/>
          <w:bCs/>
        </w:rPr>
        <w:t> The course structure mandates that all essential communication, assignments, and resources be accessed via D2L Brightspace. High access rates were observed, but this is a function of the course delivery method rather than a distinct measure of engagement with the specific OER materials versus the previous commercial text.</w:t>
      </w:r>
      <w:r w:rsidR="00000000">
        <w:rPr>
          <w:noProof/>
        </w:rPr>
      </w:r>
      <w:r w:rsidR="00000000">
        <w:rPr>
          <w:noProof/>
        </w:rPr>
        <w:pict w14:anchorId="32E33E62">
          <v:rect id="Horizontal Line 5" o:spid="_x0000_s2050" alt="" style="width:468pt;height:.1pt;visibility:visible;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ed="f">
            <o:lock v:ext="edit" rotation="t" aspectratio="t" verticies="t" text="t" shapetype="t"/>
            <w10:wrap type="none"/>
            <w10:anchorlock/>
          </v:rect>
        </w:pict>
      </w:r>
    </w:p>
    <w:p w14:paraId="66E50A75" w14:textId="77777777" w:rsidR="00D92E7E" w:rsidRPr="00C45872" w:rsidRDefault="00D92E7E" w:rsidP="00D92E7E">
      <w:pPr>
        <w:pStyle w:val="Heading2"/>
        <w:numPr>
          <w:ilvl w:val="1"/>
          <w:numId w:val="7"/>
        </w:numPr>
        <w:tabs>
          <w:tab w:val="num" w:pos="360"/>
        </w:tabs>
        <w:ind w:left="0" w:firstLine="0"/>
      </w:pPr>
      <w:r>
        <w:lastRenderedPageBreak/>
        <w:t xml:space="preserve">Measures </w:t>
      </w:r>
      <w:r w:rsidRPr="00C45872">
        <w:t>Narrative</w:t>
      </w:r>
    </w:p>
    <w:p w14:paraId="7BCF165C" w14:textId="77777777" w:rsidR="00D92E7E" w:rsidRDefault="00D92E7E" w:rsidP="00D92E7E">
      <w:pPr>
        <w:rPr>
          <w:i/>
        </w:rPr>
      </w:pPr>
      <w:r w:rsidRPr="0033401E">
        <w:rPr>
          <w:i/>
        </w:rPr>
        <w:t xml:space="preserve">In this section, summarize the supporting impact data that you are submitting, including all quantitative and qualitative measures of impact on student success and experience. Include all </w:t>
      </w:r>
      <w:proofErr w:type="gramStart"/>
      <w:r w:rsidRPr="0033401E">
        <w:rPr>
          <w:i/>
        </w:rPr>
        <w:t>measures as</w:t>
      </w:r>
      <w:proofErr w:type="gramEnd"/>
      <w:r w:rsidRPr="0033401E">
        <w:rPr>
          <w:i/>
        </w:rPr>
        <w:t xml:space="preserve"> described in your proposal, along with any measures developed after the </w:t>
      </w:r>
      <w:proofErr w:type="gramStart"/>
      <w:r w:rsidRPr="0033401E">
        <w:rPr>
          <w:i/>
        </w:rPr>
        <w:t>proposal</w:t>
      </w:r>
      <w:proofErr w:type="gramEnd"/>
      <w:r w:rsidRPr="0033401E">
        <w:rPr>
          <w:i/>
        </w:rPr>
        <w:t xml:space="preserve"> submission.</w:t>
      </w:r>
      <w:r w:rsidRPr="0033401E">
        <w:rPr>
          <w:i/>
          <w:highlight w:val="yellow"/>
        </w:rPr>
        <w:t xml:space="preserve">  </w:t>
      </w:r>
    </w:p>
    <w:p w14:paraId="5299C693" w14:textId="77777777" w:rsidR="00D92E7E" w:rsidRDefault="00D92E7E" w:rsidP="00D92E7E">
      <w:pPr>
        <w:rPr>
          <w:i/>
        </w:rPr>
      </w:pPr>
      <w:r>
        <w:rPr>
          <w:i/>
        </w:rPr>
        <w:t>[</w:t>
      </w:r>
      <w:r w:rsidRPr="00630263">
        <w:rPr>
          <w:i/>
        </w:rPr>
        <w:t xml:space="preserve">When submitting your final report, as noted above, you will also need to provide the separate file </w:t>
      </w:r>
      <w:r>
        <w:rPr>
          <w:i/>
        </w:rPr>
        <w:t xml:space="preserve">(or .zip with multiple files) </w:t>
      </w:r>
      <w:r w:rsidRPr="00630263">
        <w:rPr>
          <w:i/>
        </w:rPr>
        <w:t xml:space="preserve">of supporting data on the impact of your </w:t>
      </w:r>
      <w:r>
        <w:rPr>
          <w:i/>
        </w:rPr>
        <w:t xml:space="preserve">Textbook Transformation, such as </w:t>
      </w:r>
      <w:r w:rsidRPr="00630263">
        <w:rPr>
          <w:i/>
        </w:rPr>
        <w:t xml:space="preserve">surveys, </w:t>
      </w:r>
      <w:r>
        <w:rPr>
          <w:i/>
        </w:rPr>
        <w:t>analyzed data collected, etc.]</w:t>
      </w:r>
    </w:p>
    <w:p w14:paraId="7063D8AE" w14:textId="77777777" w:rsidR="00D92E7E" w:rsidRPr="0073273B" w:rsidRDefault="00D92E7E" w:rsidP="00D92E7E">
      <w:pPr>
        <w:pStyle w:val="ListParagraph"/>
        <w:numPr>
          <w:ilvl w:val="0"/>
          <w:numId w:val="1"/>
        </w:numPr>
        <w:spacing w:after="160" w:line="259" w:lineRule="auto"/>
        <w:ind w:left="0" w:firstLine="0"/>
        <w:rPr>
          <w:b/>
        </w:rPr>
      </w:pPr>
      <w:r w:rsidRPr="0073273B">
        <w:rPr>
          <w:i/>
        </w:rPr>
        <w:t>Include measures such as:</w:t>
      </w:r>
    </w:p>
    <w:p w14:paraId="417C7EE7" w14:textId="77777777" w:rsidR="00D92E7E" w:rsidRPr="0073273B" w:rsidRDefault="00D92E7E" w:rsidP="00D92E7E">
      <w:pPr>
        <w:pStyle w:val="ListParagraph"/>
        <w:numPr>
          <w:ilvl w:val="1"/>
          <w:numId w:val="1"/>
        </w:numPr>
        <w:spacing w:after="160" w:line="259" w:lineRule="auto"/>
        <w:ind w:left="0" w:firstLine="0"/>
        <w:rPr>
          <w:b/>
        </w:rPr>
      </w:pPr>
      <w:r w:rsidRPr="0073273B">
        <w:rPr>
          <w:i/>
        </w:rPr>
        <w:t>Drop, fail, withdraw (DFW) delta rates</w:t>
      </w:r>
    </w:p>
    <w:p w14:paraId="601D28C7" w14:textId="77777777" w:rsidR="00D92E7E" w:rsidRPr="004F2656" w:rsidRDefault="00D92E7E" w:rsidP="00D92E7E">
      <w:pPr>
        <w:pStyle w:val="ListParagraph"/>
        <w:numPr>
          <w:ilvl w:val="1"/>
          <w:numId w:val="1"/>
        </w:numPr>
        <w:spacing w:after="160" w:line="259" w:lineRule="auto"/>
        <w:ind w:left="0" w:firstLine="0"/>
        <w:rPr>
          <w:b/>
        </w:rPr>
      </w:pPr>
      <w:r w:rsidRPr="0073273B">
        <w:rPr>
          <w:i/>
        </w:rPr>
        <w:t xml:space="preserve">Course </w:t>
      </w:r>
      <w:r w:rsidRPr="004F2656">
        <w:rPr>
          <w:i/>
        </w:rPr>
        <w:t>retention and completion rates</w:t>
      </w:r>
    </w:p>
    <w:p w14:paraId="59B2315C" w14:textId="77777777" w:rsidR="00D92E7E" w:rsidRPr="004F2656" w:rsidRDefault="00D92E7E" w:rsidP="00D92E7E">
      <w:pPr>
        <w:pStyle w:val="ListParagraph"/>
        <w:numPr>
          <w:ilvl w:val="1"/>
          <w:numId w:val="1"/>
        </w:numPr>
        <w:spacing w:after="160" w:line="259" w:lineRule="auto"/>
        <w:ind w:left="0" w:firstLine="0"/>
        <w:rPr>
          <w:b/>
        </w:rPr>
      </w:pPr>
      <w:r w:rsidRPr="004F2656">
        <w:rPr>
          <w:i/>
        </w:rPr>
        <w:t>Average GPA</w:t>
      </w:r>
    </w:p>
    <w:p w14:paraId="241C72CF" w14:textId="77777777" w:rsidR="00D92E7E" w:rsidRPr="004F2656" w:rsidRDefault="00D92E7E" w:rsidP="00D92E7E">
      <w:pPr>
        <w:pStyle w:val="ListParagraph"/>
        <w:numPr>
          <w:ilvl w:val="1"/>
          <w:numId w:val="1"/>
        </w:numPr>
        <w:spacing w:after="160" w:line="259" w:lineRule="auto"/>
        <w:ind w:left="0" w:firstLine="0"/>
        <w:rPr>
          <w:b/>
        </w:rPr>
      </w:pPr>
      <w:r w:rsidRPr="004F2656">
        <w:rPr>
          <w:i/>
        </w:rPr>
        <w:t>Pre-and post-transformation DFW comparison</w:t>
      </w:r>
    </w:p>
    <w:p w14:paraId="726D479D" w14:textId="77777777" w:rsidR="00D92E7E" w:rsidRPr="004F2656" w:rsidRDefault="00D92E7E" w:rsidP="00D92E7E">
      <w:pPr>
        <w:pStyle w:val="ListParagraph"/>
        <w:numPr>
          <w:ilvl w:val="1"/>
          <w:numId w:val="1"/>
        </w:numPr>
        <w:spacing w:after="160" w:line="259" w:lineRule="auto"/>
        <w:ind w:left="0" w:firstLine="0"/>
        <w:rPr>
          <w:b/>
        </w:rPr>
      </w:pPr>
      <w:r w:rsidRPr="004F2656">
        <w:rPr>
          <w:i/>
        </w:rPr>
        <w:t>Student success in learning objectives</w:t>
      </w:r>
    </w:p>
    <w:p w14:paraId="656138C3" w14:textId="77777777" w:rsidR="00D92E7E" w:rsidRPr="0073273B" w:rsidRDefault="00D92E7E" w:rsidP="00D92E7E">
      <w:pPr>
        <w:pStyle w:val="ListParagraph"/>
        <w:numPr>
          <w:ilvl w:val="1"/>
          <w:numId w:val="1"/>
        </w:numPr>
        <w:spacing w:after="160" w:line="259" w:lineRule="auto"/>
        <w:ind w:left="0" w:firstLine="0"/>
        <w:rPr>
          <w:b/>
        </w:rPr>
      </w:pPr>
      <w:r w:rsidRPr="0073273B">
        <w:rPr>
          <w:i/>
        </w:rPr>
        <w:t>Surveys, interviews, and other qualitative measures</w:t>
      </w:r>
      <w:r>
        <w:rPr>
          <w:i/>
        </w:rPr>
        <w:t xml:space="preserve"> </w:t>
      </w:r>
    </w:p>
    <w:p w14:paraId="5DCB6BE0" w14:textId="77777777" w:rsidR="00D92E7E" w:rsidRPr="000D0071" w:rsidRDefault="00D92E7E" w:rsidP="00D92E7E">
      <w:pPr>
        <w:pStyle w:val="ListParagraph"/>
        <w:numPr>
          <w:ilvl w:val="0"/>
          <w:numId w:val="1"/>
        </w:numPr>
        <w:spacing w:after="160" w:line="259" w:lineRule="auto"/>
        <w:ind w:left="0" w:firstLine="0"/>
        <w:rPr>
          <w:b/>
        </w:rPr>
      </w:pPr>
      <w:r>
        <w:rPr>
          <w:i/>
        </w:rPr>
        <w:t>I</w:t>
      </w:r>
      <w:r w:rsidRPr="0073273B">
        <w:rPr>
          <w:i/>
        </w:rPr>
        <w:t>ndicate any co-factors that might have influenced the outcomes</w:t>
      </w:r>
      <w:r>
        <w:rPr>
          <w:i/>
        </w:rPr>
        <w:t>.</w:t>
      </w:r>
      <w:r w:rsidRPr="0073273B">
        <w:rPr>
          <w:i/>
        </w:rPr>
        <w:t xml:space="preserve">  </w:t>
      </w:r>
    </w:p>
    <w:p w14:paraId="37C55677" w14:textId="62481A8F" w:rsidR="00ED5BCB" w:rsidRPr="00917838" w:rsidRDefault="004C2184" w:rsidP="00917838">
      <w:pPr>
        <w:spacing w:line="259" w:lineRule="auto"/>
        <w:rPr>
          <w:rFonts w:eastAsiaTheme="minorHAnsi"/>
          <w:b/>
          <w:bCs/>
          <w:i/>
          <w:iCs/>
        </w:rPr>
      </w:pPr>
      <w:r w:rsidRPr="00917838">
        <w:rPr>
          <w:rFonts w:eastAsiaTheme="minorHAnsi"/>
          <w:b/>
          <w:i/>
          <w:iCs/>
        </w:rPr>
        <w:t>3</w:t>
      </w:r>
      <w:r w:rsidRPr="00917838">
        <w:rPr>
          <w:rFonts w:eastAsiaTheme="minorHAnsi"/>
          <w:b/>
          <w:bCs/>
          <w:i/>
          <w:iCs/>
        </w:rPr>
        <w:t xml:space="preserve">.5 </w:t>
      </w:r>
      <w:r w:rsidR="00ED5BCB" w:rsidRPr="00917838">
        <w:rPr>
          <w:rFonts w:eastAsiaTheme="minorHAnsi"/>
          <w:b/>
          <w:bCs/>
          <w:i/>
          <w:iCs/>
        </w:rPr>
        <w:t>Quantitative Impact</w:t>
      </w:r>
      <w:r w:rsidRPr="00917838">
        <w:rPr>
          <w:rFonts w:eastAsiaTheme="minorHAnsi"/>
          <w:b/>
          <w:bCs/>
          <w:i/>
          <w:iCs/>
        </w:rPr>
        <w:t xml:space="preserve"> Narrative</w:t>
      </w:r>
    </w:p>
    <w:p w14:paraId="0FEDD0B7" w14:textId="0457CFA3" w:rsidR="000D0071" w:rsidRDefault="000D0071" w:rsidP="00917838">
      <w:pPr>
        <w:spacing w:line="259" w:lineRule="auto"/>
        <w:rPr>
          <w:rFonts w:eastAsiaTheme="minorHAnsi"/>
          <w:bCs/>
        </w:rPr>
      </w:pPr>
      <w:r w:rsidRPr="005E5FF6">
        <w:rPr>
          <w:rFonts w:eastAsiaTheme="minorHAnsi"/>
          <w:bCs/>
        </w:rPr>
        <w:t>The impact of the transformation was measured using two primary metrics: academic performance (specifically DFW rates) and direct financial savings.</w:t>
      </w:r>
    </w:p>
    <w:p w14:paraId="54D19354" w14:textId="77777777" w:rsidR="00917838" w:rsidRPr="005E5FF6" w:rsidRDefault="00917838" w:rsidP="00917838">
      <w:pPr>
        <w:spacing w:line="259" w:lineRule="auto"/>
        <w:rPr>
          <w:rFonts w:eastAsiaTheme="minorHAnsi"/>
          <w:bCs/>
        </w:rPr>
      </w:pPr>
    </w:p>
    <w:p w14:paraId="316CBCD8" w14:textId="0EB8AE64" w:rsidR="000D0071" w:rsidRPr="00917838" w:rsidRDefault="001B610E" w:rsidP="00917838">
      <w:pPr>
        <w:spacing w:line="259" w:lineRule="auto"/>
        <w:rPr>
          <w:rFonts w:eastAsiaTheme="minorHAnsi"/>
          <w:i/>
          <w:iCs/>
        </w:rPr>
      </w:pPr>
      <w:r w:rsidRPr="00917838">
        <w:rPr>
          <w:rFonts w:eastAsiaTheme="minorHAnsi"/>
          <w:i/>
          <w:iCs/>
        </w:rPr>
        <w:t>3.5.1.</w:t>
      </w:r>
      <w:r w:rsidR="000D0071" w:rsidRPr="00917838">
        <w:rPr>
          <w:rFonts w:eastAsiaTheme="minorHAnsi"/>
          <w:i/>
          <w:iCs/>
        </w:rPr>
        <w:t xml:space="preserve"> Academic Performance: Reduction in DFW Rates</w:t>
      </w:r>
    </w:p>
    <w:p w14:paraId="3395856F" w14:textId="77777777" w:rsidR="000D0071" w:rsidRPr="005E5FF6" w:rsidRDefault="000D0071" w:rsidP="00917838">
      <w:pPr>
        <w:spacing w:line="259" w:lineRule="auto"/>
        <w:rPr>
          <w:rFonts w:eastAsiaTheme="minorHAnsi"/>
          <w:bCs/>
        </w:rPr>
      </w:pPr>
      <w:r w:rsidRPr="005E5FF6">
        <w:rPr>
          <w:rFonts w:eastAsiaTheme="minorHAnsi"/>
          <w:bCs/>
        </w:rPr>
        <w:t>A critical objective of the ALG grant is to improve student success rates. In technical courses, high failure rates often correlate with a lack of access to materials or a failure to grasp foundational concepts early in the semester.</w:t>
      </w:r>
    </w:p>
    <w:p w14:paraId="70F8F642" w14:textId="77777777" w:rsidR="000D0071" w:rsidRDefault="000D0071" w:rsidP="00917838">
      <w:pPr>
        <w:spacing w:line="259" w:lineRule="auto"/>
        <w:rPr>
          <w:rFonts w:eastAsiaTheme="minorHAnsi"/>
          <w:bCs/>
        </w:rPr>
      </w:pPr>
      <w:r w:rsidRPr="005E5FF6">
        <w:rPr>
          <w:rFonts w:eastAsiaTheme="minorHAnsi"/>
          <w:bCs/>
        </w:rPr>
        <w:t>We compared grade distributions from the pre-implementation period (using the commercial text) against the post-implementation period (using OER and Excel Games).</w:t>
      </w:r>
    </w:p>
    <w:p w14:paraId="39256E91" w14:textId="77777777" w:rsidR="00917838" w:rsidRPr="005E5FF6" w:rsidRDefault="00917838" w:rsidP="00917838">
      <w:pPr>
        <w:spacing w:line="259" w:lineRule="auto"/>
        <w:rPr>
          <w:rFonts w:eastAsiaTheme="minorHAnsi"/>
          <w:bCs/>
        </w:rPr>
      </w:pPr>
    </w:p>
    <w:tbl>
      <w:tblPr>
        <w:tblW w:w="0" w:type="auto"/>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1588"/>
        <w:gridCol w:w="2979"/>
        <w:gridCol w:w="3252"/>
        <w:gridCol w:w="1531"/>
      </w:tblGrid>
      <w:tr w:rsidR="000D0071" w:rsidRPr="005E5FF6" w14:paraId="70BFDAEF" w14:textId="77777777" w:rsidTr="006E185A">
        <w:trPr>
          <w:tblHeader/>
          <w:tblCellSpacing w:w="15" w:type="dxa"/>
        </w:trPr>
        <w:tc>
          <w:tcPr>
            <w:tcW w:w="0" w:type="auto"/>
            <w:vAlign w:val="center"/>
            <w:hideMark/>
          </w:tcPr>
          <w:p w14:paraId="1A0C3C30" w14:textId="77777777" w:rsidR="000D0071" w:rsidRPr="005E5FF6" w:rsidRDefault="000D0071" w:rsidP="0073115F">
            <w:pPr>
              <w:spacing w:after="160" w:line="259" w:lineRule="auto"/>
              <w:rPr>
                <w:rFonts w:eastAsiaTheme="minorHAnsi"/>
                <w:bCs/>
              </w:rPr>
            </w:pPr>
            <w:r w:rsidRPr="005E5FF6">
              <w:rPr>
                <w:rFonts w:eastAsiaTheme="minorHAnsi"/>
                <w:b/>
                <w:bCs/>
              </w:rPr>
              <w:t>Metric</w:t>
            </w:r>
          </w:p>
        </w:tc>
        <w:tc>
          <w:tcPr>
            <w:tcW w:w="0" w:type="auto"/>
            <w:vAlign w:val="center"/>
            <w:hideMark/>
          </w:tcPr>
          <w:p w14:paraId="626DBACD" w14:textId="77777777" w:rsidR="000D0071" w:rsidRPr="005E5FF6" w:rsidRDefault="000D0071" w:rsidP="0073115F">
            <w:pPr>
              <w:spacing w:after="160" w:line="259" w:lineRule="auto"/>
              <w:rPr>
                <w:rFonts w:eastAsiaTheme="minorHAnsi"/>
                <w:bCs/>
              </w:rPr>
            </w:pPr>
            <w:r w:rsidRPr="005E5FF6">
              <w:rPr>
                <w:rFonts w:eastAsiaTheme="minorHAnsi"/>
                <w:b/>
                <w:bCs/>
              </w:rPr>
              <w:t>Pre-Implementation (Traditional Text)</w:t>
            </w:r>
          </w:p>
        </w:tc>
        <w:tc>
          <w:tcPr>
            <w:tcW w:w="0" w:type="auto"/>
            <w:vAlign w:val="center"/>
            <w:hideMark/>
          </w:tcPr>
          <w:p w14:paraId="26A4419C" w14:textId="77777777" w:rsidR="000D0071" w:rsidRPr="005E5FF6" w:rsidRDefault="000D0071" w:rsidP="0073115F">
            <w:pPr>
              <w:spacing w:after="160" w:line="259" w:lineRule="auto"/>
              <w:rPr>
                <w:rFonts w:eastAsiaTheme="minorHAnsi"/>
                <w:bCs/>
              </w:rPr>
            </w:pPr>
            <w:r w:rsidRPr="005E5FF6">
              <w:rPr>
                <w:rFonts w:eastAsiaTheme="minorHAnsi"/>
                <w:b/>
                <w:bCs/>
              </w:rPr>
              <w:t>Post-Implementation (OER + Gamification)</w:t>
            </w:r>
          </w:p>
        </w:tc>
        <w:tc>
          <w:tcPr>
            <w:tcW w:w="0" w:type="auto"/>
            <w:vAlign w:val="center"/>
            <w:hideMark/>
          </w:tcPr>
          <w:p w14:paraId="0675D02C" w14:textId="77777777" w:rsidR="000D0071" w:rsidRPr="005E5FF6" w:rsidRDefault="000D0071" w:rsidP="0073115F">
            <w:pPr>
              <w:spacing w:after="160" w:line="259" w:lineRule="auto"/>
              <w:rPr>
                <w:rFonts w:eastAsiaTheme="minorHAnsi"/>
                <w:bCs/>
              </w:rPr>
            </w:pPr>
            <w:r w:rsidRPr="005E5FF6">
              <w:rPr>
                <w:rFonts w:eastAsiaTheme="minorHAnsi"/>
                <w:b/>
                <w:bCs/>
              </w:rPr>
              <w:t>Change</w:t>
            </w:r>
          </w:p>
        </w:tc>
      </w:tr>
      <w:tr w:rsidR="000D0071" w:rsidRPr="005E5FF6" w14:paraId="4CD9451B" w14:textId="77777777" w:rsidTr="006E185A">
        <w:trPr>
          <w:trHeight w:val="756"/>
          <w:tblCellSpacing w:w="15" w:type="dxa"/>
        </w:trPr>
        <w:tc>
          <w:tcPr>
            <w:tcW w:w="0" w:type="auto"/>
            <w:vAlign w:val="center"/>
            <w:hideMark/>
          </w:tcPr>
          <w:p w14:paraId="0B3EF073" w14:textId="77777777" w:rsidR="000D0071" w:rsidRPr="005E5FF6" w:rsidRDefault="000D0071" w:rsidP="0073115F">
            <w:pPr>
              <w:spacing w:after="160" w:line="259" w:lineRule="auto"/>
              <w:rPr>
                <w:rFonts w:eastAsiaTheme="minorHAnsi"/>
                <w:bCs/>
              </w:rPr>
            </w:pPr>
            <w:r w:rsidRPr="005E5FF6">
              <w:rPr>
                <w:rFonts w:eastAsiaTheme="minorHAnsi"/>
                <w:b/>
                <w:bCs/>
              </w:rPr>
              <w:t>Total Enrollment</w:t>
            </w:r>
          </w:p>
        </w:tc>
        <w:tc>
          <w:tcPr>
            <w:tcW w:w="0" w:type="auto"/>
            <w:vAlign w:val="center"/>
            <w:hideMark/>
          </w:tcPr>
          <w:p w14:paraId="089B155E" w14:textId="77777777" w:rsidR="000D0071" w:rsidRPr="005E5FF6" w:rsidRDefault="000D0071" w:rsidP="0073115F">
            <w:pPr>
              <w:spacing w:after="160" w:line="259" w:lineRule="auto"/>
              <w:rPr>
                <w:rFonts w:eastAsiaTheme="minorHAnsi"/>
                <w:bCs/>
              </w:rPr>
            </w:pPr>
            <w:r w:rsidRPr="005E5FF6">
              <w:rPr>
                <w:rFonts w:eastAsiaTheme="minorHAnsi"/>
                <w:bCs/>
              </w:rPr>
              <w:t>75 Students</w:t>
            </w:r>
          </w:p>
        </w:tc>
        <w:tc>
          <w:tcPr>
            <w:tcW w:w="0" w:type="auto"/>
            <w:vAlign w:val="center"/>
            <w:hideMark/>
          </w:tcPr>
          <w:p w14:paraId="408F635B" w14:textId="77777777" w:rsidR="000D0071" w:rsidRPr="005E5FF6" w:rsidRDefault="000D0071" w:rsidP="0073115F">
            <w:pPr>
              <w:spacing w:after="160" w:line="259" w:lineRule="auto"/>
              <w:rPr>
                <w:rFonts w:eastAsiaTheme="minorHAnsi"/>
                <w:bCs/>
              </w:rPr>
            </w:pPr>
            <w:r w:rsidRPr="005E5FF6">
              <w:rPr>
                <w:rFonts w:eastAsiaTheme="minorHAnsi"/>
                <w:bCs/>
              </w:rPr>
              <w:t>133 Students</w:t>
            </w:r>
          </w:p>
        </w:tc>
        <w:tc>
          <w:tcPr>
            <w:tcW w:w="0" w:type="auto"/>
            <w:vAlign w:val="center"/>
            <w:hideMark/>
          </w:tcPr>
          <w:p w14:paraId="57E37A57" w14:textId="77777777" w:rsidR="000D0071" w:rsidRPr="005E5FF6" w:rsidRDefault="000D0071" w:rsidP="0073115F">
            <w:pPr>
              <w:spacing w:after="160" w:line="259" w:lineRule="auto"/>
              <w:rPr>
                <w:rFonts w:eastAsiaTheme="minorHAnsi"/>
                <w:bCs/>
              </w:rPr>
            </w:pPr>
            <w:r w:rsidRPr="005E5FF6">
              <w:rPr>
                <w:rFonts w:eastAsiaTheme="minorHAnsi"/>
                <w:bCs/>
              </w:rPr>
              <w:t>+77.3%</w:t>
            </w:r>
          </w:p>
        </w:tc>
      </w:tr>
      <w:tr w:rsidR="000D0071" w:rsidRPr="005E5FF6" w14:paraId="66AAC6FD" w14:textId="77777777" w:rsidTr="006E185A">
        <w:trPr>
          <w:trHeight w:val="756"/>
          <w:tblCellSpacing w:w="15" w:type="dxa"/>
        </w:trPr>
        <w:tc>
          <w:tcPr>
            <w:tcW w:w="0" w:type="auto"/>
            <w:vAlign w:val="center"/>
            <w:hideMark/>
          </w:tcPr>
          <w:p w14:paraId="463CED0F" w14:textId="77777777" w:rsidR="000D0071" w:rsidRPr="005E5FF6" w:rsidRDefault="000D0071" w:rsidP="0073115F">
            <w:pPr>
              <w:spacing w:after="160" w:line="259" w:lineRule="auto"/>
              <w:rPr>
                <w:rFonts w:eastAsiaTheme="minorHAnsi"/>
                <w:bCs/>
              </w:rPr>
            </w:pPr>
            <w:r w:rsidRPr="005E5FF6">
              <w:rPr>
                <w:rFonts w:eastAsiaTheme="minorHAnsi"/>
                <w:b/>
                <w:bCs/>
              </w:rPr>
              <w:t>"D" Grades</w:t>
            </w:r>
          </w:p>
        </w:tc>
        <w:tc>
          <w:tcPr>
            <w:tcW w:w="0" w:type="auto"/>
            <w:vAlign w:val="center"/>
            <w:hideMark/>
          </w:tcPr>
          <w:p w14:paraId="2A5F2088" w14:textId="77777777" w:rsidR="000D0071" w:rsidRPr="005E5FF6" w:rsidRDefault="000D0071" w:rsidP="0073115F">
            <w:pPr>
              <w:spacing w:after="160" w:line="259" w:lineRule="auto"/>
              <w:rPr>
                <w:rFonts w:eastAsiaTheme="minorHAnsi"/>
                <w:bCs/>
              </w:rPr>
            </w:pPr>
            <w:r w:rsidRPr="005E5FF6">
              <w:rPr>
                <w:rFonts w:eastAsiaTheme="minorHAnsi"/>
                <w:bCs/>
              </w:rPr>
              <w:t>4</w:t>
            </w:r>
          </w:p>
        </w:tc>
        <w:tc>
          <w:tcPr>
            <w:tcW w:w="0" w:type="auto"/>
            <w:vAlign w:val="center"/>
            <w:hideMark/>
          </w:tcPr>
          <w:p w14:paraId="1E6FD135" w14:textId="77777777" w:rsidR="000D0071" w:rsidRPr="005E5FF6" w:rsidRDefault="000D0071" w:rsidP="0073115F">
            <w:pPr>
              <w:spacing w:after="160" w:line="259" w:lineRule="auto"/>
              <w:rPr>
                <w:rFonts w:eastAsiaTheme="minorHAnsi"/>
                <w:bCs/>
              </w:rPr>
            </w:pPr>
            <w:r w:rsidRPr="005E5FF6">
              <w:rPr>
                <w:rFonts w:eastAsiaTheme="minorHAnsi"/>
                <w:bCs/>
              </w:rPr>
              <w:t>2</w:t>
            </w:r>
          </w:p>
        </w:tc>
        <w:tc>
          <w:tcPr>
            <w:tcW w:w="0" w:type="auto"/>
            <w:vAlign w:val="center"/>
            <w:hideMark/>
          </w:tcPr>
          <w:p w14:paraId="42B9A2E3" w14:textId="77777777" w:rsidR="000D0071" w:rsidRPr="005E5FF6" w:rsidRDefault="000D0071" w:rsidP="0073115F">
            <w:pPr>
              <w:spacing w:after="160" w:line="259" w:lineRule="auto"/>
              <w:rPr>
                <w:rFonts w:eastAsiaTheme="minorHAnsi"/>
                <w:bCs/>
              </w:rPr>
            </w:pPr>
            <w:r w:rsidRPr="005E5FF6">
              <w:rPr>
                <w:rFonts w:eastAsiaTheme="minorHAnsi"/>
                <w:bCs/>
              </w:rPr>
              <w:t>-50% (Absolute)</w:t>
            </w:r>
          </w:p>
        </w:tc>
      </w:tr>
      <w:tr w:rsidR="000D0071" w:rsidRPr="005E5FF6" w14:paraId="4A1116E1" w14:textId="77777777" w:rsidTr="006E185A">
        <w:trPr>
          <w:trHeight w:val="756"/>
          <w:tblCellSpacing w:w="15" w:type="dxa"/>
        </w:trPr>
        <w:tc>
          <w:tcPr>
            <w:tcW w:w="0" w:type="auto"/>
            <w:vAlign w:val="center"/>
            <w:hideMark/>
          </w:tcPr>
          <w:p w14:paraId="40A0C0A9" w14:textId="77777777" w:rsidR="000D0071" w:rsidRPr="005E5FF6" w:rsidRDefault="000D0071" w:rsidP="0073115F">
            <w:pPr>
              <w:spacing w:after="160" w:line="259" w:lineRule="auto"/>
              <w:rPr>
                <w:rFonts w:eastAsiaTheme="minorHAnsi"/>
                <w:bCs/>
              </w:rPr>
            </w:pPr>
            <w:r w:rsidRPr="005E5FF6">
              <w:rPr>
                <w:rFonts w:eastAsiaTheme="minorHAnsi"/>
                <w:b/>
                <w:bCs/>
              </w:rPr>
              <w:t>"D" Rate (%)</w:t>
            </w:r>
          </w:p>
        </w:tc>
        <w:tc>
          <w:tcPr>
            <w:tcW w:w="0" w:type="auto"/>
            <w:vAlign w:val="center"/>
            <w:hideMark/>
          </w:tcPr>
          <w:p w14:paraId="720BEAAF" w14:textId="77777777" w:rsidR="000D0071" w:rsidRPr="005E5FF6" w:rsidRDefault="000D0071" w:rsidP="0073115F">
            <w:pPr>
              <w:spacing w:after="160" w:line="259" w:lineRule="auto"/>
              <w:rPr>
                <w:rFonts w:eastAsiaTheme="minorHAnsi"/>
                <w:bCs/>
              </w:rPr>
            </w:pPr>
            <w:r w:rsidRPr="005E5FF6">
              <w:rPr>
                <w:rFonts w:eastAsiaTheme="minorHAnsi"/>
                <w:b/>
                <w:bCs/>
              </w:rPr>
              <w:t>5.33%</w:t>
            </w:r>
          </w:p>
        </w:tc>
        <w:tc>
          <w:tcPr>
            <w:tcW w:w="0" w:type="auto"/>
            <w:vAlign w:val="center"/>
            <w:hideMark/>
          </w:tcPr>
          <w:p w14:paraId="4E372CDE" w14:textId="77777777" w:rsidR="000D0071" w:rsidRPr="005E5FF6" w:rsidRDefault="000D0071" w:rsidP="0073115F">
            <w:pPr>
              <w:spacing w:after="160" w:line="259" w:lineRule="auto"/>
              <w:rPr>
                <w:rFonts w:eastAsiaTheme="minorHAnsi"/>
                <w:bCs/>
              </w:rPr>
            </w:pPr>
            <w:r w:rsidRPr="005E5FF6">
              <w:rPr>
                <w:rFonts w:eastAsiaTheme="minorHAnsi"/>
                <w:b/>
                <w:bCs/>
              </w:rPr>
              <w:t>1.50%</w:t>
            </w:r>
          </w:p>
        </w:tc>
        <w:tc>
          <w:tcPr>
            <w:tcW w:w="0" w:type="auto"/>
            <w:vAlign w:val="center"/>
            <w:hideMark/>
          </w:tcPr>
          <w:p w14:paraId="35C10CB4" w14:textId="77777777" w:rsidR="000D0071" w:rsidRPr="005E5FF6" w:rsidRDefault="000D0071" w:rsidP="0073115F">
            <w:pPr>
              <w:spacing w:after="160" w:line="259" w:lineRule="auto"/>
              <w:rPr>
                <w:rFonts w:eastAsiaTheme="minorHAnsi"/>
                <w:bCs/>
              </w:rPr>
            </w:pPr>
            <w:r w:rsidRPr="005E5FF6">
              <w:rPr>
                <w:rFonts w:eastAsiaTheme="minorHAnsi"/>
                <w:b/>
                <w:bCs/>
              </w:rPr>
              <w:t>-71.8% (Relative)</w:t>
            </w:r>
          </w:p>
        </w:tc>
      </w:tr>
    </w:tbl>
    <w:p w14:paraId="250B2FF2" w14:textId="50CE4F63" w:rsidR="000D0071" w:rsidRPr="005E5FF6" w:rsidRDefault="000D0071" w:rsidP="000D0071">
      <w:pPr>
        <w:spacing w:after="160" w:line="259" w:lineRule="auto"/>
        <w:rPr>
          <w:rFonts w:eastAsiaTheme="minorHAnsi"/>
          <w:bCs/>
        </w:rPr>
      </w:pPr>
      <w:r w:rsidRPr="005E5FF6">
        <w:rPr>
          <w:rFonts w:eastAsiaTheme="minorHAnsi"/>
          <w:bCs/>
        </w:rPr>
        <w:t>The data reveals a statistically significant improvement in student outcomes.</w:t>
      </w:r>
      <w:r w:rsidR="00A2405B" w:rsidRPr="00A2405B">
        <w:rPr>
          <w:rFonts w:eastAsiaTheme="minorHAnsi"/>
          <w:bCs/>
        </w:rPr>
        <w:t xml:space="preserve"> </w:t>
      </w:r>
      <w:r w:rsidRPr="005E5FF6">
        <w:rPr>
          <w:rFonts w:eastAsiaTheme="minorHAnsi"/>
          <w:bCs/>
        </w:rPr>
        <w:t xml:space="preserve">Research </w:t>
      </w:r>
      <w:r w:rsidR="00A2405B" w:rsidRPr="00A2405B">
        <w:rPr>
          <w:rFonts w:eastAsiaTheme="minorHAnsi"/>
          <w:bCs/>
        </w:rPr>
        <w:t xml:space="preserve">suggests that </w:t>
      </w:r>
      <w:r w:rsidRPr="005E5FF6">
        <w:rPr>
          <w:rFonts w:eastAsiaTheme="minorHAnsi"/>
          <w:bCs/>
        </w:rPr>
        <w:t xml:space="preserve">DFW rates are often higher among students from lower socio-economic backgrounds who may delay purchasing textbooks. By removing the cost barrier, we likely enabled these at-risk students to engage </w:t>
      </w:r>
      <w:proofErr w:type="gramStart"/>
      <w:r w:rsidRPr="005E5FF6">
        <w:rPr>
          <w:rFonts w:eastAsiaTheme="minorHAnsi"/>
          <w:bCs/>
        </w:rPr>
        <w:t>with</w:t>
      </w:r>
      <w:proofErr w:type="gramEnd"/>
      <w:r w:rsidRPr="005E5FF6">
        <w:rPr>
          <w:rFonts w:eastAsiaTheme="minorHAnsi"/>
          <w:bCs/>
        </w:rPr>
        <w:t xml:space="preserve"> the material from </w:t>
      </w:r>
      <w:r w:rsidRPr="00A2405B">
        <w:rPr>
          <w:rFonts w:eastAsiaTheme="minorHAnsi"/>
          <w:bCs/>
        </w:rPr>
        <w:t>d</w:t>
      </w:r>
      <w:r w:rsidRPr="005E5FF6">
        <w:rPr>
          <w:rFonts w:eastAsiaTheme="minorHAnsi"/>
          <w:bCs/>
        </w:rPr>
        <w:t xml:space="preserve">ay </w:t>
      </w:r>
      <w:r w:rsidRPr="00A2405B">
        <w:rPr>
          <w:rFonts w:eastAsiaTheme="minorHAnsi"/>
          <w:bCs/>
        </w:rPr>
        <w:t>o</w:t>
      </w:r>
      <w:r w:rsidRPr="005E5FF6">
        <w:rPr>
          <w:rFonts w:eastAsiaTheme="minorHAnsi"/>
          <w:bCs/>
        </w:rPr>
        <w:t>ne, contributing to the lower failure rate.</w:t>
      </w:r>
    </w:p>
    <w:p w14:paraId="393B1209" w14:textId="3736C946" w:rsidR="000D0071" w:rsidRPr="00917838" w:rsidRDefault="00336C08" w:rsidP="00917838">
      <w:pPr>
        <w:spacing w:line="259" w:lineRule="auto"/>
        <w:rPr>
          <w:rFonts w:eastAsiaTheme="minorHAnsi"/>
          <w:i/>
          <w:iCs/>
        </w:rPr>
      </w:pPr>
      <w:r w:rsidRPr="00917838">
        <w:rPr>
          <w:rFonts w:eastAsiaTheme="minorHAnsi"/>
          <w:i/>
          <w:iCs/>
        </w:rPr>
        <w:lastRenderedPageBreak/>
        <w:t xml:space="preserve">3.5.2 </w:t>
      </w:r>
      <w:r w:rsidR="000D0071" w:rsidRPr="00917838">
        <w:rPr>
          <w:rFonts w:eastAsiaTheme="minorHAnsi"/>
          <w:i/>
          <w:iCs/>
        </w:rPr>
        <w:t>Financial Impact: Direct Cost Savings</w:t>
      </w:r>
    </w:p>
    <w:p w14:paraId="2A2FA2CF" w14:textId="77777777" w:rsidR="000D0071" w:rsidRDefault="000D0071" w:rsidP="00917838">
      <w:pPr>
        <w:spacing w:line="259" w:lineRule="auto"/>
        <w:rPr>
          <w:rFonts w:eastAsiaTheme="minorHAnsi"/>
          <w:bCs/>
        </w:rPr>
      </w:pPr>
      <w:r w:rsidRPr="005E5FF6">
        <w:rPr>
          <w:rFonts w:eastAsiaTheme="minorHAnsi"/>
          <w:bCs/>
        </w:rPr>
        <w:t>The financial relief provided to students was immediate and substantial.</w:t>
      </w:r>
      <w:r w:rsidRPr="00A2405B">
        <w:rPr>
          <w:rFonts w:eastAsiaTheme="minorHAnsi"/>
          <w:bCs/>
        </w:rPr>
        <w:t xml:space="preserve"> </w:t>
      </w:r>
      <w:r w:rsidRPr="005E5FF6">
        <w:rPr>
          <w:rFonts w:eastAsiaTheme="minorHAnsi"/>
          <w:bCs/>
        </w:rPr>
        <w:t xml:space="preserve">The commercial textbook, </w:t>
      </w:r>
      <w:r w:rsidRPr="005E5FF6">
        <w:rPr>
          <w:rFonts w:eastAsiaTheme="minorHAnsi"/>
          <w:bCs/>
          <w:i/>
          <w:iCs/>
        </w:rPr>
        <w:t>Construction Accounting and Financial Management</w:t>
      </w:r>
      <w:r w:rsidRPr="005E5FF6">
        <w:rPr>
          <w:rFonts w:eastAsiaTheme="minorHAnsi"/>
          <w:bCs/>
        </w:rPr>
        <w:t>, retails for approximately $</w:t>
      </w:r>
      <w:r w:rsidRPr="00A2405B">
        <w:rPr>
          <w:rFonts w:eastAsiaTheme="minorHAnsi"/>
          <w:bCs/>
        </w:rPr>
        <w:t>175</w:t>
      </w:r>
      <w:r w:rsidRPr="005E5FF6">
        <w:rPr>
          <w:rFonts w:eastAsiaTheme="minorHAnsi"/>
          <w:bCs/>
        </w:rPr>
        <w:t>.00 (average of new/used/digital options).</w:t>
      </w:r>
      <w:r w:rsidRPr="00A2405B">
        <w:rPr>
          <w:rFonts w:eastAsiaTheme="minorHAnsi"/>
          <w:bCs/>
        </w:rPr>
        <w:t xml:space="preserve"> Post implementation, this cost became </w:t>
      </w:r>
      <w:r w:rsidRPr="005E5FF6">
        <w:rPr>
          <w:rFonts w:eastAsiaTheme="minorHAnsi"/>
          <w:bCs/>
        </w:rPr>
        <w:t>$0.00.</w:t>
      </w:r>
    </w:p>
    <w:p w14:paraId="735BDA47" w14:textId="77777777" w:rsidR="00917838" w:rsidRPr="005E5FF6" w:rsidRDefault="00917838" w:rsidP="00917838">
      <w:pPr>
        <w:spacing w:line="259" w:lineRule="auto"/>
        <w:rPr>
          <w:rFonts w:eastAsiaTheme="minorHAnsi"/>
          <w:bCs/>
        </w:rPr>
      </w:pPr>
    </w:p>
    <w:p w14:paraId="0085BA3E" w14:textId="77777777" w:rsidR="000D0071" w:rsidRPr="005E5FF6" w:rsidRDefault="000D0071" w:rsidP="00917838">
      <w:pPr>
        <w:spacing w:line="259" w:lineRule="auto"/>
        <w:rPr>
          <w:rFonts w:eastAsiaTheme="minorHAnsi"/>
          <w:bCs/>
        </w:rPr>
      </w:pPr>
      <w:r w:rsidRPr="005E5FF6">
        <w:rPr>
          <w:rFonts w:eastAsiaTheme="minorHAnsi"/>
          <w:bCs/>
        </w:rPr>
        <w:t>Savings Calculation:</w:t>
      </w:r>
    </w:p>
    <w:p w14:paraId="2546843D" w14:textId="77777777" w:rsidR="000D0071" w:rsidRPr="005E5FF6" w:rsidRDefault="000D0071" w:rsidP="00917838">
      <w:pPr>
        <w:numPr>
          <w:ilvl w:val="1"/>
          <w:numId w:val="19"/>
        </w:numPr>
        <w:spacing w:line="259" w:lineRule="auto"/>
        <w:rPr>
          <w:rFonts w:eastAsiaTheme="minorHAnsi"/>
          <w:bCs/>
        </w:rPr>
      </w:pPr>
      <w:r w:rsidRPr="005E5FF6">
        <w:rPr>
          <w:rFonts w:eastAsiaTheme="minorHAnsi"/>
          <w:bCs/>
        </w:rPr>
        <w:t>Implementation Semesters (133 students): $1</w:t>
      </w:r>
      <w:r w:rsidRPr="00A2405B">
        <w:rPr>
          <w:rFonts w:eastAsiaTheme="minorHAnsi"/>
          <w:bCs/>
        </w:rPr>
        <w:t>75</w:t>
      </w:r>
      <w:r w:rsidRPr="005E5FF6">
        <w:rPr>
          <w:rFonts w:eastAsiaTheme="minorHAnsi"/>
          <w:bCs/>
        </w:rPr>
        <w:t xml:space="preserve"> </w:t>
      </w:r>
      <w:r w:rsidRPr="00A2405B">
        <w:rPr>
          <w:rFonts w:eastAsiaTheme="minorHAnsi"/>
          <w:bCs/>
        </w:rPr>
        <w:t>*</w:t>
      </w:r>
      <w:r w:rsidRPr="005E5FF6">
        <w:rPr>
          <w:rFonts w:eastAsiaTheme="minorHAnsi"/>
          <w:bCs/>
        </w:rPr>
        <w:t xml:space="preserve"> 133 = $2</w:t>
      </w:r>
      <w:r w:rsidRPr="00A2405B">
        <w:rPr>
          <w:rFonts w:eastAsiaTheme="minorHAnsi"/>
          <w:bCs/>
        </w:rPr>
        <w:t>3</w:t>
      </w:r>
      <w:r w:rsidRPr="005E5FF6">
        <w:rPr>
          <w:rFonts w:eastAsiaTheme="minorHAnsi"/>
          <w:bCs/>
        </w:rPr>
        <w:t>,</w:t>
      </w:r>
      <w:r w:rsidRPr="00A2405B">
        <w:rPr>
          <w:rFonts w:eastAsiaTheme="minorHAnsi"/>
          <w:bCs/>
        </w:rPr>
        <w:t>2</w:t>
      </w:r>
      <w:r w:rsidRPr="005E5FF6">
        <w:rPr>
          <w:rFonts w:eastAsiaTheme="minorHAnsi"/>
          <w:bCs/>
        </w:rPr>
        <w:t>7</w:t>
      </w:r>
      <w:r w:rsidRPr="00A2405B">
        <w:rPr>
          <w:rFonts w:eastAsiaTheme="minorHAnsi"/>
          <w:bCs/>
        </w:rPr>
        <w:t>5</w:t>
      </w:r>
      <w:r w:rsidRPr="005E5FF6">
        <w:rPr>
          <w:rFonts w:eastAsiaTheme="minorHAnsi"/>
          <w:bCs/>
        </w:rPr>
        <w:t>.</w:t>
      </w:r>
    </w:p>
    <w:p w14:paraId="1D4BD5FB" w14:textId="77777777" w:rsidR="000D0071" w:rsidRPr="005E5FF6" w:rsidRDefault="000D0071" w:rsidP="00917838">
      <w:pPr>
        <w:numPr>
          <w:ilvl w:val="1"/>
          <w:numId w:val="19"/>
        </w:numPr>
        <w:spacing w:line="259" w:lineRule="auto"/>
        <w:rPr>
          <w:rFonts w:eastAsiaTheme="minorHAnsi"/>
          <w:bCs/>
        </w:rPr>
      </w:pPr>
      <w:r w:rsidRPr="005E5FF6">
        <w:rPr>
          <w:rFonts w:eastAsiaTheme="minorHAnsi"/>
          <w:bCs/>
        </w:rPr>
        <w:t>Annualized Projection (2</w:t>
      </w:r>
      <w:r w:rsidRPr="00A2405B">
        <w:rPr>
          <w:rFonts w:eastAsiaTheme="minorHAnsi"/>
          <w:bCs/>
        </w:rPr>
        <w:t>70</w:t>
      </w:r>
      <w:r w:rsidRPr="005E5FF6">
        <w:rPr>
          <w:rFonts w:eastAsiaTheme="minorHAnsi"/>
          <w:bCs/>
        </w:rPr>
        <w:t xml:space="preserve"> students): $</w:t>
      </w:r>
      <w:r w:rsidRPr="00A2405B">
        <w:rPr>
          <w:rFonts w:eastAsiaTheme="minorHAnsi"/>
          <w:bCs/>
        </w:rPr>
        <w:t xml:space="preserve">175* </w:t>
      </w:r>
      <w:r w:rsidRPr="005E5FF6">
        <w:rPr>
          <w:rFonts w:eastAsiaTheme="minorHAnsi"/>
          <w:bCs/>
        </w:rPr>
        <w:t>2</w:t>
      </w:r>
      <w:r w:rsidRPr="00A2405B">
        <w:rPr>
          <w:rFonts w:eastAsiaTheme="minorHAnsi"/>
          <w:bCs/>
        </w:rPr>
        <w:t>70</w:t>
      </w:r>
      <w:r w:rsidRPr="005E5FF6">
        <w:rPr>
          <w:rFonts w:eastAsiaTheme="minorHAnsi"/>
          <w:bCs/>
        </w:rPr>
        <w:t xml:space="preserve"> = $</w:t>
      </w:r>
      <w:r w:rsidRPr="00A2405B">
        <w:rPr>
          <w:rFonts w:eastAsiaTheme="minorHAnsi"/>
          <w:bCs/>
        </w:rPr>
        <w:t>47</w:t>
      </w:r>
      <w:r w:rsidRPr="005E5FF6">
        <w:rPr>
          <w:rFonts w:eastAsiaTheme="minorHAnsi"/>
          <w:bCs/>
        </w:rPr>
        <w:t>,</w:t>
      </w:r>
      <w:r w:rsidRPr="00A2405B">
        <w:rPr>
          <w:rFonts w:eastAsiaTheme="minorHAnsi"/>
          <w:bCs/>
        </w:rPr>
        <w:t>270</w:t>
      </w:r>
      <w:r w:rsidRPr="005E5FF6">
        <w:rPr>
          <w:rFonts w:eastAsiaTheme="minorHAnsi"/>
          <w:bCs/>
        </w:rPr>
        <w:t>.</w:t>
      </w:r>
    </w:p>
    <w:p w14:paraId="7E7B8443" w14:textId="77777777" w:rsidR="00917838" w:rsidRDefault="00917838" w:rsidP="00917838">
      <w:pPr>
        <w:spacing w:line="259" w:lineRule="auto"/>
        <w:rPr>
          <w:rFonts w:eastAsiaTheme="minorHAnsi"/>
          <w:bCs/>
        </w:rPr>
      </w:pPr>
    </w:p>
    <w:p w14:paraId="5CFA17EA" w14:textId="25D1D8EB" w:rsidR="000D0071" w:rsidRPr="00A2405B" w:rsidRDefault="000D0071" w:rsidP="00917838">
      <w:pPr>
        <w:spacing w:line="259" w:lineRule="auto"/>
        <w:rPr>
          <w:rFonts w:eastAsiaTheme="minorHAnsi"/>
          <w:bCs/>
        </w:rPr>
      </w:pPr>
      <w:r w:rsidRPr="005E5FF6">
        <w:rPr>
          <w:rFonts w:eastAsiaTheme="minorHAnsi"/>
          <w:bCs/>
        </w:rPr>
        <w:t>For a student taking a full load of 5 courses, saving ~$</w:t>
      </w:r>
      <w:r w:rsidRPr="00A2405B">
        <w:rPr>
          <w:rFonts w:eastAsiaTheme="minorHAnsi"/>
          <w:bCs/>
        </w:rPr>
        <w:t>175</w:t>
      </w:r>
      <w:r w:rsidRPr="005E5FF6">
        <w:rPr>
          <w:rFonts w:eastAsiaTheme="minorHAnsi"/>
          <w:bCs/>
        </w:rPr>
        <w:t xml:space="preserve"> in one class represents a significant portion of their semester book budget. As noted in the survey data, many students operate on tight margins ("tighter budgeting," "unwilling to spend money unless I </w:t>
      </w:r>
      <w:proofErr w:type="gramStart"/>
      <w:r w:rsidRPr="005E5FF6">
        <w:rPr>
          <w:rFonts w:eastAsiaTheme="minorHAnsi"/>
          <w:bCs/>
        </w:rPr>
        <w:t>have to</w:t>
      </w:r>
      <w:proofErr w:type="gramEnd"/>
      <w:r w:rsidRPr="005E5FF6">
        <w:rPr>
          <w:rFonts w:eastAsiaTheme="minorHAnsi"/>
          <w:bCs/>
        </w:rPr>
        <w:t>"). This saving allows capital to be redirected toward essential living expenses, reducing financial stress and potentially allowing students to work fewer outside hours, further supporting academic success.</w:t>
      </w:r>
    </w:p>
    <w:p w14:paraId="10CA19F4" w14:textId="0AE6FE8E" w:rsidR="00D54E97" w:rsidRDefault="00A2405B" w:rsidP="00917838">
      <w:pPr>
        <w:spacing w:line="259" w:lineRule="auto"/>
        <w:rPr>
          <w:rFonts w:eastAsiaTheme="minorHAnsi"/>
          <w:bCs/>
        </w:rPr>
      </w:pPr>
      <w:r w:rsidRPr="00A2405B">
        <w:rPr>
          <w:rFonts w:eastAsiaTheme="minorHAnsi"/>
          <w:bCs/>
        </w:rPr>
        <w:t xml:space="preserve">The table below shows a consolidated </w:t>
      </w:r>
      <w:r>
        <w:rPr>
          <w:rFonts w:eastAsiaTheme="minorHAnsi"/>
          <w:bCs/>
        </w:rPr>
        <w:t>recap</w:t>
      </w:r>
      <w:r w:rsidRPr="00A2405B">
        <w:rPr>
          <w:rFonts w:eastAsiaTheme="minorHAnsi"/>
          <w:bCs/>
        </w:rPr>
        <w:t xml:space="preserve"> of the quantita</w:t>
      </w:r>
      <w:r>
        <w:rPr>
          <w:rFonts w:eastAsiaTheme="minorHAnsi"/>
          <w:bCs/>
        </w:rPr>
        <w:t>tive</w:t>
      </w:r>
      <w:r w:rsidRPr="00A2405B">
        <w:rPr>
          <w:rFonts w:eastAsiaTheme="minorHAnsi"/>
          <w:bCs/>
        </w:rPr>
        <w:t xml:space="preserve"> measures of the project. </w:t>
      </w:r>
    </w:p>
    <w:p w14:paraId="5842D97D" w14:textId="77777777" w:rsidR="00917838" w:rsidRPr="00A2405B" w:rsidRDefault="00917838" w:rsidP="00917838">
      <w:pPr>
        <w:spacing w:line="259" w:lineRule="auto"/>
        <w:rPr>
          <w:rFonts w:eastAsiaTheme="minorHAnsi"/>
          <w:bCs/>
        </w:rPr>
      </w:pPr>
    </w:p>
    <w:tbl>
      <w:tblPr>
        <w:tblStyle w:val="TableGrid"/>
        <w:tblW w:w="9535" w:type="dxa"/>
        <w:tblLook w:val="04A0" w:firstRow="1" w:lastRow="0" w:firstColumn="1" w:lastColumn="0" w:noHBand="0" w:noVBand="1"/>
      </w:tblPr>
      <w:tblGrid>
        <w:gridCol w:w="2700"/>
        <w:gridCol w:w="3059"/>
        <w:gridCol w:w="3776"/>
      </w:tblGrid>
      <w:tr w:rsidR="00D54E97" w:rsidRPr="00A2405B" w14:paraId="5C0D42B7" w14:textId="77777777" w:rsidTr="0073115F">
        <w:trPr>
          <w:trHeight w:val="305"/>
        </w:trPr>
        <w:tc>
          <w:tcPr>
            <w:tcW w:w="9535" w:type="dxa"/>
            <w:gridSpan w:val="3"/>
            <w:noWrap/>
            <w:hideMark/>
          </w:tcPr>
          <w:p w14:paraId="14C170B3" w14:textId="77777777" w:rsidR="00D54E97" w:rsidRPr="00917838" w:rsidRDefault="00D54E97" w:rsidP="0073115F">
            <w:pPr>
              <w:jc w:val="center"/>
              <w:rPr>
                <w:rFonts w:eastAsiaTheme="minorHAnsi"/>
                <w:b/>
                <w:lang w:eastAsia="en-US"/>
              </w:rPr>
            </w:pPr>
            <w:r w:rsidRPr="00917838">
              <w:rPr>
                <w:rFonts w:eastAsiaTheme="minorHAnsi"/>
                <w:b/>
                <w:lang w:eastAsia="en-US"/>
              </w:rPr>
              <w:t xml:space="preserve">Summary: Quantitative Measures of OER </w:t>
            </w:r>
          </w:p>
        </w:tc>
      </w:tr>
      <w:tr w:rsidR="00D54E97" w:rsidRPr="00B0759C" w14:paraId="7914D628" w14:textId="77777777" w:rsidTr="0073115F">
        <w:trPr>
          <w:trHeight w:val="647"/>
        </w:trPr>
        <w:tc>
          <w:tcPr>
            <w:tcW w:w="2700" w:type="dxa"/>
            <w:hideMark/>
          </w:tcPr>
          <w:p w14:paraId="03C54F76" w14:textId="77777777" w:rsidR="00D54E97" w:rsidRPr="00B0759C" w:rsidRDefault="00D54E97" w:rsidP="0073115F">
            <w:pPr>
              <w:rPr>
                <w:b/>
                <w:bCs/>
              </w:rPr>
            </w:pPr>
            <w:r w:rsidRPr="00B0759C">
              <w:rPr>
                <w:b/>
                <w:bCs/>
              </w:rPr>
              <w:t>Metric</w:t>
            </w:r>
          </w:p>
        </w:tc>
        <w:tc>
          <w:tcPr>
            <w:tcW w:w="3059" w:type="dxa"/>
            <w:hideMark/>
          </w:tcPr>
          <w:p w14:paraId="43860156" w14:textId="77777777" w:rsidR="00D54E97" w:rsidRPr="00B0759C" w:rsidRDefault="00D54E97" w:rsidP="0073115F">
            <w:pPr>
              <w:rPr>
                <w:b/>
                <w:bCs/>
              </w:rPr>
            </w:pPr>
            <w:r w:rsidRPr="00B0759C">
              <w:rPr>
                <w:b/>
                <w:bCs/>
              </w:rPr>
              <w:t>Pre-Transformation (Control)</w:t>
            </w:r>
          </w:p>
        </w:tc>
        <w:tc>
          <w:tcPr>
            <w:tcW w:w="3776" w:type="dxa"/>
            <w:hideMark/>
          </w:tcPr>
          <w:p w14:paraId="06EE252D" w14:textId="77777777" w:rsidR="00D54E97" w:rsidRPr="00B0759C" w:rsidRDefault="00D54E97" w:rsidP="0073115F">
            <w:pPr>
              <w:rPr>
                <w:b/>
                <w:bCs/>
              </w:rPr>
            </w:pPr>
            <w:r w:rsidRPr="00B0759C">
              <w:rPr>
                <w:b/>
                <w:bCs/>
              </w:rPr>
              <w:t>Post-Transformation (Experimental)</w:t>
            </w:r>
          </w:p>
        </w:tc>
      </w:tr>
      <w:tr w:rsidR="00D54E97" w:rsidRPr="00B0759C" w14:paraId="7B9C9E7D" w14:textId="77777777" w:rsidTr="0073115F">
        <w:trPr>
          <w:trHeight w:val="305"/>
        </w:trPr>
        <w:tc>
          <w:tcPr>
            <w:tcW w:w="2700" w:type="dxa"/>
            <w:hideMark/>
          </w:tcPr>
          <w:p w14:paraId="2F68C02E" w14:textId="77777777" w:rsidR="00D54E97" w:rsidRPr="00D5385A" w:rsidRDefault="00D54E97" w:rsidP="0073115F">
            <w:pPr>
              <w:rPr>
                <w:bCs/>
              </w:rPr>
            </w:pPr>
            <w:r w:rsidRPr="00D5385A">
              <w:rPr>
                <w:bCs/>
              </w:rPr>
              <w:t>Student Enrollment</w:t>
            </w:r>
          </w:p>
        </w:tc>
        <w:tc>
          <w:tcPr>
            <w:tcW w:w="3059" w:type="dxa"/>
            <w:hideMark/>
          </w:tcPr>
          <w:p w14:paraId="60A18418" w14:textId="77777777" w:rsidR="00D54E97" w:rsidRPr="00D5385A" w:rsidRDefault="00D54E97" w:rsidP="0073115F">
            <w:pPr>
              <w:rPr>
                <w:bCs/>
              </w:rPr>
            </w:pPr>
            <w:r w:rsidRPr="00D5385A">
              <w:rPr>
                <w:bCs/>
              </w:rPr>
              <w:t>75</w:t>
            </w:r>
          </w:p>
        </w:tc>
        <w:tc>
          <w:tcPr>
            <w:tcW w:w="3776" w:type="dxa"/>
            <w:hideMark/>
          </w:tcPr>
          <w:p w14:paraId="2F556F53" w14:textId="77777777" w:rsidR="00D54E97" w:rsidRPr="00D5385A" w:rsidRDefault="00D54E97" w:rsidP="0073115F">
            <w:pPr>
              <w:rPr>
                <w:bCs/>
              </w:rPr>
            </w:pPr>
            <w:r w:rsidRPr="00D5385A">
              <w:rPr>
                <w:bCs/>
              </w:rPr>
              <w:t>133</w:t>
            </w:r>
          </w:p>
        </w:tc>
      </w:tr>
      <w:tr w:rsidR="00D54E97" w:rsidRPr="00B0759C" w14:paraId="01AB7F73" w14:textId="77777777" w:rsidTr="0073115F">
        <w:trPr>
          <w:trHeight w:val="305"/>
        </w:trPr>
        <w:tc>
          <w:tcPr>
            <w:tcW w:w="2700" w:type="dxa"/>
            <w:hideMark/>
          </w:tcPr>
          <w:p w14:paraId="42790B5C" w14:textId="77777777" w:rsidR="00D54E97" w:rsidRPr="00D5385A" w:rsidRDefault="00D54E97" w:rsidP="0073115F">
            <w:pPr>
              <w:rPr>
                <w:bCs/>
              </w:rPr>
            </w:pPr>
            <w:r w:rsidRPr="00D5385A">
              <w:rPr>
                <w:bCs/>
              </w:rPr>
              <w:t>Course Material Cost</w:t>
            </w:r>
          </w:p>
        </w:tc>
        <w:tc>
          <w:tcPr>
            <w:tcW w:w="3059" w:type="dxa"/>
            <w:hideMark/>
          </w:tcPr>
          <w:p w14:paraId="38B59C1E" w14:textId="77777777" w:rsidR="00D54E97" w:rsidRPr="00D5385A" w:rsidRDefault="00D54E97" w:rsidP="0073115F">
            <w:pPr>
              <w:rPr>
                <w:bCs/>
              </w:rPr>
            </w:pPr>
            <w:r w:rsidRPr="00D5385A">
              <w:rPr>
                <w:bCs/>
              </w:rPr>
              <w:t>~$</w:t>
            </w:r>
            <w:r>
              <w:rPr>
                <w:bCs/>
              </w:rPr>
              <w:t>175</w:t>
            </w:r>
            <w:r w:rsidRPr="00D5385A">
              <w:rPr>
                <w:bCs/>
              </w:rPr>
              <w:t>.00</w:t>
            </w:r>
          </w:p>
        </w:tc>
        <w:tc>
          <w:tcPr>
            <w:tcW w:w="3776" w:type="dxa"/>
            <w:hideMark/>
          </w:tcPr>
          <w:p w14:paraId="2A33009E" w14:textId="77777777" w:rsidR="00D54E97" w:rsidRPr="00D5385A" w:rsidRDefault="00D54E97" w:rsidP="0073115F">
            <w:pPr>
              <w:rPr>
                <w:bCs/>
              </w:rPr>
            </w:pPr>
            <w:r w:rsidRPr="00D5385A">
              <w:rPr>
                <w:bCs/>
              </w:rPr>
              <w:t>$0.00</w:t>
            </w:r>
          </w:p>
        </w:tc>
      </w:tr>
      <w:tr w:rsidR="00D54E97" w:rsidRPr="00B0759C" w14:paraId="11023C6C" w14:textId="77777777" w:rsidTr="0073115F">
        <w:trPr>
          <w:trHeight w:val="305"/>
        </w:trPr>
        <w:tc>
          <w:tcPr>
            <w:tcW w:w="2700" w:type="dxa"/>
            <w:hideMark/>
          </w:tcPr>
          <w:p w14:paraId="2B450E49" w14:textId="77777777" w:rsidR="00D54E97" w:rsidRPr="00D5385A" w:rsidRDefault="00D54E97" w:rsidP="0073115F">
            <w:pPr>
              <w:rPr>
                <w:bCs/>
              </w:rPr>
            </w:pPr>
            <w:r w:rsidRPr="00D5385A">
              <w:rPr>
                <w:bCs/>
              </w:rPr>
              <w:t>Total Student Savings</w:t>
            </w:r>
          </w:p>
        </w:tc>
        <w:tc>
          <w:tcPr>
            <w:tcW w:w="3059" w:type="dxa"/>
            <w:hideMark/>
          </w:tcPr>
          <w:p w14:paraId="1341C025" w14:textId="77777777" w:rsidR="00D54E97" w:rsidRPr="00D5385A" w:rsidRDefault="00D54E97" w:rsidP="0073115F">
            <w:pPr>
              <w:rPr>
                <w:bCs/>
              </w:rPr>
            </w:pPr>
            <w:r w:rsidRPr="00D5385A">
              <w:rPr>
                <w:bCs/>
              </w:rPr>
              <w:t>$0</w:t>
            </w:r>
          </w:p>
        </w:tc>
        <w:tc>
          <w:tcPr>
            <w:tcW w:w="3776" w:type="dxa"/>
            <w:hideMark/>
          </w:tcPr>
          <w:p w14:paraId="5C7509B5" w14:textId="77777777" w:rsidR="00D54E97" w:rsidRPr="00D5385A" w:rsidRDefault="00D54E97" w:rsidP="0073115F">
            <w:pPr>
              <w:rPr>
                <w:bCs/>
              </w:rPr>
            </w:pPr>
            <w:r w:rsidRPr="00D5385A">
              <w:rPr>
                <w:bCs/>
              </w:rPr>
              <w:t>$2</w:t>
            </w:r>
            <w:r>
              <w:rPr>
                <w:bCs/>
              </w:rPr>
              <w:t>3</w:t>
            </w:r>
            <w:r w:rsidRPr="00D5385A">
              <w:rPr>
                <w:bCs/>
              </w:rPr>
              <w:t>,</w:t>
            </w:r>
            <w:r>
              <w:rPr>
                <w:bCs/>
              </w:rPr>
              <w:t>2</w:t>
            </w:r>
            <w:r w:rsidRPr="00D5385A">
              <w:rPr>
                <w:bCs/>
              </w:rPr>
              <w:t>7</w:t>
            </w:r>
            <w:r>
              <w:rPr>
                <w:bCs/>
              </w:rPr>
              <w:t>5</w:t>
            </w:r>
          </w:p>
        </w:tc>
      </w:tr>
      <w:tr w:rsidR="00D54E97" w:rsidRPr="00B0759C" w14:paraId="09202B18" w14:textId="77777777" w:rsidTr="0073115F">
        <w:trPr>
          <w:trHeight w:val="305"/>
        </w:trPr>
        <w:tc>
          <w:tcPr>
            <w:tcW w:w="2700" w:type="dxa"/>
            <w:hideMark/>
          </w:tcPr>
          <w:p w14:paraId="1DD4C2A5" w14:textId="77777777" w:rsidR="00D54E97" w:rsidRPr="00D5385A" w:rsidRDefault="00D54E97" w:rsidP="0073115F">
            <w:pPr>
              <w:rPr>
                <w:bCs/>
              </w:rPr>
            </w:pPr>
            <w:r w:rsidRPr="00D5385A">
              <w:rPr>
                <w:bCs/>
              </w:rPr>
              <w:t>D Grades</w:t>
            </w:r>
          </w:p>
        </w:tc>
        <w:tc>
          <w:tcPr>
            <w:tcW w:w="3059" w:type="dxa"/>
            <w:hideMark/>
          </w:tcPr>
          <w:p w14:paraId="063BEB64" w14:textId="77777777" w:rsidR="00D54E97" w:rsidRPr="00D5385A" w:rsidRDefault="00D54E97" w:rsidP="0073115F">
            <w:pPr>
              <w:rPr>
                <w:bCs/>
              </w:rPr>
            </w:pPr>
            <w:r w:rsidRPr="00D5385A">
              <w:rPr>
                <w:bCs/>
              </w:rPr>
              <w:t>4 (5.33%)</w:t>
            </w:r>
          </w:p>
        </w:tc>
        <w:tc>
          <w:tcPr>
            <w:tcW w:w="3776" w:type="dxa"/>
            <w:hideMark/>
          </w:tcPr>
          <w:p w14:paraId="43C21EB0" w14:textId="77777777" w:rsidR="00D54E97" w:rsidRPr="00D5385A" w:rsidRDefault="00D54E97" w:rsidP="0073115F">
            <w:pPr>
              <w:rPr>
                <w:bCs/>
              </w:rPr>
            </w:pPr>
            <w:r w:rsidRPr="00D5385A">
              <w:rPr>
                <w:bCs/>
              </w:rPr>
              <w:t>2 (1.50%)</w:t>
            </w:r>
          </w:p>
        </w:tc>
      </w:tr>
      <w:tr w:rsidR="00D54E97" w:rsidRPr="00B0759C" w14:paraId="6D9659E1" w14:textId="77777777" w:rsidTr="0073115F">
        <w:trPr>
          <w:trHeight w:val="369"/>
        </w:trPr>
        <w:tc>
          <w:tcPr>
            <w:tcW w:w="2700" w:type="dxa"/>
            <w:hideMark/>
          </w:tcPr>
          <w:p w14:paraId="3221F370" w14:textId="77777777" w:rsidR="00D54E97" w:rsidRPr="00D5385A" w:rsidRDefault="00D54E97" w:rsidP="0073115F">
            <w:pPr>
              <w:rPr>
                <w:bCs/>
              </w:rPr>
            </w:pPr>
            <w:r w:rsidRPr="00D5385A">
              <w:rPr>
                <w:bCs/>
              </w:rPr>
              <w:t>Student Satisfaction</w:t>
            </w:r>
          </w:p>
        </w:tc>
        <w:tc>
          <w:tcPr>
            <w:tcW w:w="3059" w:type="dxa"/>
            <w:hideMark/>
          </w:tcPr>
          <w:p w14:paraId="5B84E09C" w14:textId="77777777" w:rsidR="00D54E97" w:rsidRPr="00D5385A" w:rsidRDefault="00D54E97" w:rsidP="0073115F">
            <w:pPr>
              <w:rPr>
                <w:bCs/>
              </w:rPr>
            </w:pPr>
            <w:r w:rsidRPr="00D5385A">
              <w:rPr>
                <w:bCs/>
              </w:rPr>
              <w:t>Low (Textbook friction)</w:t>
            </w:r>
          </w:p>
        </w:tc>
        <w:tc>
          <w:tcPr>
            <w:tcW w:w="3776" w:type="dxa"/>
            <w:hideMark/>
          </w:tcPr>
          <w:p w14:paraId="13A9A11C" w14:textId="77777777" w:rsidR="00D54E97" w:rsidRPr="00D5385A" w:rsidRDefault="00D54E97" w:rsidP="0073115F">
            <w:pPr>
              <w:rPr>
                <w:bCs/>
              </w:rPr>
            </w:pPr>
            <w:r w:rsidRPr="00D5385A">
              <w:rPr>
                <w:bCs/>
              </w:rPr>
              <w:t>High (Gamification engagement)</w:t>
            </w:r>
          </w:p>
        </w:tc>
      </w:tr>
      <w:tr w:rsidR="00D54E97" w:rsidRPr="00B0759C" w14:paraId="384F9DF1" w14:textId="77777777" w:rsidTr="0073115F">
        <w:trPr>
          <w:trHeight w:val="369"/>
        </w:trPr>
        <w:tc>
          <w:tcPr>
            <w:tcW w:w="2700" w:type="dxa"/>
          </w:tcPr>
          <w:p w14:paraId="3C02FB1C" w14:textId="77777777" w:rsidR="00D54E97" w:rsidRPr="00D5385A" w:rsidRDefault="00D54E97" w:rsidP="0073115F">
            <w:pPr>
              <w:rPr>
                <w:bCs/>
              </w:rPr>
            </w:pPr>
            <w:r>
              <w:rPr>
                <w:bCs/>
              </w:rPr>
              <w:t>Weighted Average Median</w:t>
            </w:r>
          </w:p>
        </w:tc>
        <w:tc>
          <w:tcPr>
            <w:tcW w:w="3059" w:type="dxa"/>
          </w:tcPr>
          <w:p w14:paraId="59682A13" w14:textId="77777777" w:rsidR="00D54E97" w:rsidRPr="00D5385A" w:rsidRDefault="00D54E97" w:rsidP="0073115F">
            <w:pPr>
              <w:rPr>
                <w:bCs/>
              </w:rPr>
            </w:pPr>
            <w:r>
              <w:rPr>
                <w:bCs/>
              </w:rPr>
              <w:t>86.31 %</w:t>
            </w:r>
          </w:p>
        </w:tc>
        <w:tc>
          <w:tcPr>
            <w:tcW w:w="3776" w:type="dxa"/>
          </w:tcPr>
          <w:p w14:paraId="0C2310FE" w14:textId="77777777" w:rsidR="00D54E97" w:rsidRPr="00D5385A" w:rsidRDefault="00D54E97" w:rsidP="0073115F">
            <w:pPr>
              <w:rPr>
                <w:bCs/>
              </w:rPr>
            </w:pPr>
            <w:r>
              <w:rPr>
                <w:bCs/>
              </w:rPr>
              <w:t>86.11%</w:t>
            </w:r>
          </w:p>
        </w:tc>
      </w:tr>
    </w:tbl>
    <w:p w14:paraId="59EBFAA2" w14:textId="541A6C81" w:rsidR="00D54E97" w:rsidRPr="005E5FF6" w:rsidRDefault="00D54E97" w:rsidP="000D0071">
      <w:pPr>
        <w:spacing w:after="160" w:line="259" w:lineRule="auto"/>
        <w:rPr>
          <w:rFonts w:asciiTheme="minorHAnsi" w:eastAsiaTheme="minorHAnsi" w:hAnsiTheme="minorHAnsi" w:cstheme="minorBidi"/>
          <w:bCs/>
        </w:rPr>
      </w:pPr>
    </w:p>
    <w:p w14:paraId="6143E291" w14:textId="5E41640C" w:rsidR="00ED5BCB" w:rsidRPr="00782F33" w:rsidRDefault="00234313" w:rsidP="00917838">
      <w:pPr>
        <w:spacing w:line="259" w:lineRule="auto"/>
        <w:rPr>
          <w:rFonts w:eastAsiaTheme="minorHAnsi"/>
          <w:b/>
          <w:i/>
          <w:iCs/>
        </w:rPr>
      </w:pPr>
      <w:r w:rsidRPr="00782F33">
        <w:rPr>
          <w:rFonts w:eastAsiaTheme="minorHAnsi"/>
          <w:b/>
          <w:i/>
          <w:iCs/>
        </w:rPr>
        <w:t xml:space="preserve">3.6 </w:t>
      </w:r>
      <w:r w:rsidR="00ED5BCB" w:rsidRPr="00782F33">
        <w:rPr>
          <w:rFonts w:eastAsiaTheme="minorHAnsi"/>
          <w:b/>
          <w:i/>
          <w:iCs/>
        </w:rPr>
        <w:t>Qualitative Impact</w:t>
      </w:r>
      <w:r w:rsidR="00782F33">
        <w:rPr>
          <w:rFonts w:eastAsiaTheme="minorHAnsi"/>
          <w:b/>
          <w:i/>
          <w:iCs/>
        </w:rPr>
        <w:t xml:space="preserve"> Narrative</w:t>
      </w:r>
    </w:p>
    <w:p w14:paraId="35C19164" w14:textId="5DF37E5F" w:rsidR="00ED5BCB" w:rsidRDefault="00ED5BCB" w:rsidP="00917838">
      <w:pPr>
        <w:spacing w:line="259" w:lineRule="auto"/>
        <w:rPr>
          <w:rFonts w:eastAsiaTheme="minorHAnsi"/>
          <w:bCs/>
        </w:rPr>
      </w:pPr>
      <w:proofErr w:type="gramStart"/>
      <w:r w:rsidRPr="005E5FF6">
        <w:rPr>
          <w:rFonts w:eastAsiaTheme="minorHAnsi"/>
          <w:bCs/>
        </w:rPr>
        <w:t>The quantitative</w:t>
      </w:r>
      <w:proofErr w:type="gramEnd"/>
      <w:r w:rsidRPr="005E5FF6">
        <w:rPr>
          <w:rFonts w:eastAsiaTheme="minorHAnsi"/>
          <w:bCs/>
        </w:rPr>
        <w:t xml:space="preserve"> success is mirrored by the qualitative feedback collected via course surveys. This data </w:t>
      </w:r>
      <w:r w:rsidRPr="00B0038C">
        <w:rPr>
          <w:rFonts w:eastAsiaTheme="minorHAnsi"/>
          <w:bCs/>
        </w:rPr>
        <w:t xml:space="preserve">analysis </w:t>
      </w:r>
      <w:r w:rsidRPr="005E5FF6">
        <w:rPr>
          <w:rFonts w:eastAsiaTheme="minorHAnsi"/>
          <w:bCs/>
        </w:rPr>
        <w:t xml:space="preserve">provides insight into </w:t>
      </w:r>
      <w:r w:rsidRPr="005E5FF6">
        <w:rPr>
          <w:rFonts w:eastAsiaTheme="minorHAnsi"/>
          <w:bCs/>
          <w:i/>
          <w:iCs/>
        </w:rPr>
        <w:t>why</w:t>
      </w:r>
      <w:r w:rsidRPr="005E5FF6">
        <w:rPr>
          <w:rFonts w:eastAsiaTheme="minorHAnsi"/>
          <w:bCs/>
        </w:rPr>
        <w:t xml:space="preserve"> the transformation worked.</w:t>
      </w:r>
    </w:p>
    <w:p w14:paraId="6F4DF51C" w14:textId="77777777" w:rsidR="00917838" w:rsidRPr="005E5FF6" w:rsidRDefault="00917838" w:rsidP="00917838">
      <w:pPr>
        <w:spacing w:line="259" w:lineRule="auto"/>
        <w:rPr>
          <w:rFonts w:eastAsiaTheme="minorHAnsi"/>
          <w:bCs/>
        </w:rPr>
      </w:pPr>
    </w:p>
    <w:p w14:paraId="3CFD1A97" w14:textId="5409F1F5" w:rsidR="005E5FF6" w:rsidRPr="00917838" w:rsidRDefault="005E5FF6" w:rsidP="00917838">
      <w:pPr>
        <w:pStyle w:val="ListParagraph"/>
        <w:numPr>
          <w:ilvl w:val="2"/>
          <w:numId w:val="33"/>
        </w:numPr>
        <w:spacing w:line="259" w:lineRule="auto"/>
        <w:rPr>
          <w:rFonts w:eastAsiaTheme="minorHAnsi"/>
          <w:i/>
          <w:iCs/>
        </w:rPr>
      </w:pPr>
      <w:r w:rsidRPr="00917838">
        <w:rPr>
          <w:rFonts w:eastAsiaTheme="minorHAnsi"/>
          <w:i/>
          <w:iCs/>
        </w:rPr>
        <w:t>The Psychological Impact of "Free"</w:t>
      </w:r>
    </w:p>
    <w:p w14:paraId="68DDB160" w14:textId="60C18F39" w:rsidR="00984E78" w:rsidRDefault="005E5FF6" w:rsidP="00917838">
      <w:pPr>
        <w:spacing w:line="259" w:lineRule="auto"/>
        <w:rPr>
          <w:rFonts w:eastAsiaTheme="minorHAnsi"/>
          <w:bCs/>
        </w:rPr>
      </w:pPr>
      <w:r w:rsidRPr="00917838">
        <w:rPr>
          <w:rFonts w:eastAsiaTheme="minorHAnsi"/>
        </w:rPr>
        <w:t>T</w:t>
      </w:r>
      <w:r w:rsidRPr="005E5FF6">
        <w:rPr>
          <w:rFonts w:eastAsiaTheme="minorHAnsi"/>
          <w:bCs/>
        </w:rPr>
        <w:t>he survey data confirms that the cost of the textbook was a major friction point</w:t>
      </w:r>
      <w:r w:rsidR="00234313">
        <w:rPr>
          <w:rFonts w:eastAsiaTheme="minorHAnsi"/>
          <w:bCs/>
        </w:rPr>
        <w:t xml:space="preserve">. </w:t>
      </w:r>
      <w:r w:rsidRPr="005E5FF6">
        <w:rPr>
          <w:rFonts w:eastAsiaTheme="minorHAnsi"/>
          <w:bCs/>
        </w:rPr>
        <w:t xml:space="preserve">Students explicitly stated, </w:t>
      </w:r>
      <w:r w:rsidRPr="005E5FF6">
        <w:rPr>
          <w:rFonts w:eastAsiaTheme="minorHAnsi"/>
          <w:bCs/>
          <w:i/>
          <w:iCs/>
        </w:rPr>
        <w:t xml:space="preserve">"I will not as the professor says </w:t>
      </w:r>
      <w:proofErr w:type="spellStart"/>
      <w:proofErr w:type="gramStart"/>
      <w:r w:rsidRPr="005E5FF6">
        <w:rPr>
          <w:rFonts w:eastAsiaTheme="minorHAnsi"/>
          <w:bCs/>
          <w:i/>
          <w:iCs/>
        </w:rPr>
        <w:t>its</w:t>
      </w:r>
      <w:proofErr w:type="spellEnd"/>
      <w:proofErr w:type="gramEnd"/>
      <w:r w:rsidRPr="005E5FF6">
        <w:rPr>
          <w:rFonts w:eastAsiaTheme="minorHAnsi"/>
          <w:bCs/>
          <w:i/>
          <w:iCs/>
        </w:rPr>
        <w:t xml:space="preserve"> not required"</w:t>
      </w:r>
      <w:r w:rsidRPr="005E5FF6">
        <w:rPr>
          <w:rFonts w:eastAsiaTheme="minorHAnsi"/>
          <w:bCs/>
        </w:rPr>
        <w:t xml:space="preserve"> and </w:t>
      </w:r>
      <w:r w:rsidRPr="005E5FF6">
        <w:rPr>
          <w:rFonts w:eastAsiaTheme="minorHAnsi"/>
          <w:bCs/>
          <w:i/>
          <w:iCs/>
        </w:rPr>
        <w:t>"I will not because I do not have the money to buy the book"</w:t>
      </w:r>
      <w:r w:rsidRPr="005E5FF6">
        <w:rPr>
          <w:rFonts w:eastAsiaTheme="minorHAnsi"/>
          <w:bCs/>
        </w:rPr>
        <w:t>.</w:t>
      </w:r>
      <w:r w:rsidR="00984E78">
        <w:rPr>
          <w:rFonts w:eastAsiaTheme="minorHAnsi"/>
          <w:bCs/>
        </w:rPr>
        <w:t xml:space="preserve"> </w:t>
      </w:r>
    </w:p>
    <w:p w14:paraId="01115C7B" w14:textId="426F2A66" w:rsidR="005E5FF6" w:rsidRDefault="005E5FF6" w:rsidP="00917838">
      <w:pPr>
        <w:spacing w:line="259" w:lineRule="auto"/>
        <w:rPr>
          <w:rFonts w:eastAsiaTheme="minorHAnsi"/>
          <w:bCs/>
        </w:rPr>
      </w:pPr>
      <w:r w:rsidRPr="005E5FF6">
        <w:rPr>
          <w:rFonts w:eastAsiaTheme="minorHAnsi"/>
          <w:bCs/>
        </w:rPr>
        <w:t xml:space="preserve">Interestingly, removing the cost did not devalue the material in the students' eyes. Instead, they viewed the faculty-authored notes as </w:t>
      </w:r>
      <w:r w:rsidRPr="005E5FF6">
        <w:rPr>
          <w:rFonts w:eastAsiaTheme="minorHAnsi"/>
          <w:bCs/>
          <w:i/>
          <w:iCs/>
        </w:rPr>
        <w:t>more</w:t>
      </w:r>
      <w:r w:rsidRPr="005E5FF6">
        <w:rPr>
          <w:rFonts w:eastAsiaTheme="minorHAnsi"/>
          <w:bCs/>
        </w:rPr>
        <w:t xml:space="preserve"> valuable because they were tailored to the specific lectures.</w:t>
      </w:r>
      <w:r w:rsidR="00984E78">
        <w:rPr>
          <w:rFonts w:eastAsiaTheme="minorHAnsi"/>
          <w:bCs/>
        </w:rPr>
        <w:t xml:space="preserve"> </w:t>
      </w:r>
      <w:r w:rsidRPr="005E5FF6">
        <w:rPr>
          <w:rFonts w:eastAsiaTheme="minorHAnsi"/>
          <w:bCs/>
        </w:rPr>
        <w:t xml:space="preserve">One student remarked, </w:t>
      </w:r>
      <w:r w:rsidRPr="005E5FF6">
        <w:rPr>
          <w:rFonts w:eastAsiaTheme="minorHAnsi"/>
          <w:bCs/>
          <w:i/>
          <w:iCs/>
        </w:rPr>
        <w:t>"I pay to attend college. Why am I paying for a book."</w:t>
      </w:r>
      <w:r w:rsidRPr="005E5FF6">
        <w:rPr>
          <w:rFonts w:eastAsiaTheme="minorHAnsi"/>
          <w:bCs/>
        </w:rPr>
        <w:t xml:space="preserve"> This reflects a growing student demand for inclusive access models where course materials are part of the tuition value proposition.</w:t>
      </w:r>
    </w:p>
    <w:p w14:paraId="176E8F98" w14:textId="77777777" w:rsidR="00917838" w:rsidRDefault="00917838" w:rsidP="00917838">
      <w:pPr>
        <w:spacing w:line="259" w:lineRule="auto"/>
        <w:rPr>
          <w:rFonts w:eastAsiaTheme="minorHAnsi"/>
          <w:bCs/>
        </w:rPr>
      </w:pPr>
    </w:p>
    <w:p w14:paraId="72A78A67" w14:textId="77777777" w:rsidR="00917838" w:rsidRPr="005E5FF6" w:rsidRDefault="00917838" w:rsidP="00917838">
      <w:pPr>
        <w:spacing w:line="259" w:lineRule="auto"/>
        <w:rPr>
          <w:rFonts w:eastAsiaTheme="minorHAnsi"/>
          <w:bCs/>
        </w:rPr>
      </w:pPr>
    </w:p>
    <w:p w14:paraId="12159774" w14:textId="6E33E35E" w:rsidR="005E5FF6" w:rsidRPr="00917838" w:rsidRDefault="00A0062C" w:rsidP="00917838">
      <w:pPr>
        <w:spacing w:line="259" w:lineRule="auto"/>
        <w:rPr>
          <w:rFonts w:eastAsiaTheme="minorHAnsi"/>
          <w:i/>
          <w:iCs/>
        </w:rPr>
      </w:pPr>
      <w:r w:rsidRPr="00917838">
        <w:rPr>
          <w:rFonts w:eastAsiaTheme="minorHAnsi"/>
          <w:i/>
          <w:iCs/>
        </w:rPr>
        <w:lastRenderedPageBreak/>
        <w:t>3.6.2 The</w:t>
      </w:r>
      <w:r w:rsidR="005E5FF6" w:rsidRPr="00917838">
        <w:rPr>
          <w:rFonts w:eastAsiaTheme="minorHAnsi"/>
          <w:i/>
          <w:iCs/>
        </w:rPr>
        <w:t xml:space="preserve"> "Gamification" Experience</w:t>
      </w:r>
    </w:p>
    <w:p w14:paraId="615FFC88" w14:textId="6D086136" w:rsidR="005E5FF6" w:rsidRDefault="005E5FF6" w:rsidP="00917838">
      <w:pPr>
        <w:spacing w:line="259" w:lineRule="auto"/>
        <w:rPr>
          <w:rFonts w:eastAsiaTheme="minorHAnsi"/>
          <w:bCs/>
        </w:rPr>
      </w:pPr>
      <w:r w:rsidRPr="005E5FF6">
        <w:rPr>
          <w:rFonts w:eastAsiaTheme="minorHAnsi"/>
          <w:bCs/>
        </w:rPr>
        <w:t xml:space="preserve">The feedback on the Excel Game was overwhelmingly positive, validating the pedagogical shift from passive reading </w:t>
      </w:r>
      <w:r w:rsidR="00977C76">
        <w:rPr>
          <w:rFonts w:eastAsiaTheme="minorHAnsi"/>
          <w:bCs/>
        </w:rPr>
        <w:t xml:space="preserve">and problem solving </w:t>
      </w:r>
      <w:r w:rsidRPr="005E5FF6">
        <w:rPr>
          <w:rFonts w:eastAsiaTheme="minorHAnsi"/>
          <w:bCs/>
        </w:rPr>
        <w:t>to active simulation.</w:t>
      </w:r>
      <w:r w:rsidR="00BF5760">
        <w:rPr>
          <w:rFonts w:eastAsiaTheme="minorHAnsi"/>
          <w:bCs/>
        </w:rPr>
        <w:t xml:space="preserve"> The following </w:t>
      </w:r>
      <w:r w:rsidR="00A0062C">
        <w:rPr>
          <w:rFonts w:eastAsiaTheme="minorHAnsi"/>
          <w:bCs/>
        </w:rPr>
        <w:t xml:space="preserve">benefits </w:t>
      </w:r>
      <w:r w:rsidR="00BF5760">
        <w:rPr>
          <w:rFonts w:eastAsiaTheme="minorHAnsi"/>
          <w:bCs/>
        </w:rPr>
        <w:t xml:space="preserve">were identified in </w:t>
      </w:r>
      <w:proofErr w:type="gramStart"/>
      <w:r w:rsidR="00BF5760">
        <w:rPr>
          <w:rFonts w:eastAsiaTheme="minorHAnsi"/>
          <w:bCs/>
        </w:rPr>
        <w:t>student’s</w:t>
      </w:r>
      <w:proofErr w:type="gramEnd"/>
      <w:r w:rsidR="00BF5760">
        <w:rPr>
          <w:rFonts w:eastAsiaTheme="minorHAnsi"/>
          <w:bCs/>
        </w:rPr>
        <w:t xml:space="preserve"> feedback. </w:t>
      </w:r>
    </w:p>
    <w:p w14:paraId="2708E3B1" w14:textId="77777777" w:rsidR="00917838" w:rsidRPr="005E5FF6" w:rsidRDefault="00917838" w:rsidP="00917838">
      <w:pPr>
        <w:spacing w:line="259" w:lineRule="auto"/>
        <w:rPr>
          <w:rFonts w:eastAsiaTheme="minorHAnsi"/>
          <w:bCs/>
        </w:rPr>
      </w:pPr>
    </w:p>
    <w:p w14:paraId="3A67C602" w14:textId="77777777" w:rsidR="005E5FF6" w:rsidRPr="005E5FF6" w:rsidRDefault="005E5FF6" w:rsidP="00917838">
      <w:pPr>
        <w:spacing w:line="259" w:lineRule="auto"/>
        <w:rPr>
          <w:rFonts w:eastAsiaTheme="minorHAnsi"/>
          <w:bCs/>
          <w:i/>
          <w:iCs/>
          <w:u w:val="single"/>
        </w:rPr>
      </w:pPr>
      <w:r w:rsidRPr="005E5FF6">
        <w:rPr>
          <w:rFonts w:eastAsiaTheme="minorHAnsi"/>
          <w:bCs/>
          <w:i/>
          <w:iCs/>
          <w:u w:val="single"/>
        </w:rPr>
        <w:t>Theme 1: Confidence via Immediate Feedback</w:t>
      </w:r>
    </w:p>
    <w:p w14:paraId="3A241FBB" w14:textId="77777777" w:rsidR="005E5FF6" w:rsidRPr="005E5FF6" w:rsidRDefault="005E5FF6" w:rsidP="00917838">
      <w:pPr>
        <w:spacing w:line="259" w:lineRule="auto"/>
        <w:rPr>
          <w:rFonts w:eastAsiaTheme="minorHAnsi"/>
          <w:bCs/>
        </w:rPr>
      </w:pPr>
      <w:r w:rsidRPr="005E5FF6">
        <w:rPr>
          <w:rFonts w:eastAsiaTheme="minorHAnsi"/>
          <w:bCs/>
        </w:rPr>
        <w:t>The most cited benefit was the color-coding system.</w:t>
      </w:r>
    </w:p>
    <w:p w14:paraId="16E21D15" w14:textId="7D216D54" w:rsidR="005E5FF6" w:rsidRPr="005E5FF6" w:rsidRDefault="005E5FF6" w:rsidP="00917838">
      <w:pPr>
        <w:numPr>
          <w:ilvl w:val="0"/>
          <w:numId w:val="23"/>
        </w:numPr>
        <w:spacing w:line="259" w:lineRule="auto"/>
        <w:rPr>
          <w:rFonts w:eastAsiaTheme="minorHAnsi"/>
          <w:bCs/>
        </w:rPr>
      </w:pPr>
      <w:r w:rsidRPr="005E5FF6">
        <w:rPr>
          <w:rFonts w:eastAsiaTheme="minorHAnsi"/>
          <w:bCs/>
          <w:i/>
          <w:iCs/>
        </w:rPr>
        <w:t>"I liked that it would show you when you typed the correct answer by changing green."</w:t>
      </w:r>
      <w:r w:rsidRPr="005E5FF6">
        <w:rPr>
          <w:rFonts w:eastAsiaTheme="minorHAnsi"/>
          <w:bCs/>
        </w:rPr>
        <w:t xml:space="preserve"> </w:t>
      </w:r>
    </w:p>
    <w:p w14:paraId="7B82616D" w14:textId="77777777" w:rsidR="005E5FF6" w:rsidRPr="005E5FF6" w:rsidRDefault="005E5FF6" w:rsidP="00917838">
      <w:pPr>
        <w:numPr>
          <w:ilvl w:val="0"/>
          <w:numId w:val="23"/>
        </w:numPr>
        <w:spacing w:line="259" w:lineRule="auto"/>
        <w:rPr>
          <w:rFonts w:eastAsiaTheme="minorHAnsi"/>
          <w:bCs/>
        </w:rPr>
      </w:pPr>
      <w:r w:rsidRPr="005E5FF6">
        <w:rPr>
          <w:rFonts w:eastAsiaTheme="minorHAnsi"/>
          <w:bCs/>
          <w:i/>
          <w:iCs/>
        </w:rPr>
        <w:t xml:space="preserve">"I like the way the color </w:t>
      </w:r>
      <w:proofErr w:type="gramStart"/>
      <w:r w:rsidRPr="005E5FF6">
        <w:rPr>
          <w:rFonts w:eastAsiaTheme="minorHAnsi"/>
          <w:bCs/>
          <w:i/>
          <w:iCs/>
        </w:rPr>
        <w:t>changed</w:t>
      </w:r>
      <w:proofErr w:type="gramEnd"/>
      <w:r w:rsidRPr="005E5FF6">
        <w:rPr>
          <w:rFonts w:eastAsiaTheme="minorHAnsi"/>
          <w:bCs/>
          <w:i/>
          <w:iCs/>
        </w:rPr>
        <w:t xml:space="preserve"> if the answer was </w:t>
      </w:r>
      <w:proofErr w:type="gramStart"/>
      <w:r w:rsidRPr="005E5FF6">
        <w:rPr>
          <w:rFonts w:eastAsiaTheme="minorHAnsi"/>
          <w:bCs/>
          <w:i/>
          <w:iCs/>
        </w:rPr>
        <w:t>correct</w:t>
      </w:r>
      <w:proofErr w:type="gramEnd"/>
      <w:r w:rsidRPr="005E5FF6">
        <w:rPr>
          <w:rFonts w:eastAsiaTheme="minorHAnsi"/>
          <w:bCs/>
          <w:i/>
          <w:iCs/>
        </w:rPr>
        <w:t xml:space="preserve"> so I didn't have to second guess myself."</w:t>
      </w:r>
    </w:p>
    <w:p w14:paraId="53E098A5" w14:textId="77777777" w:rsidR="005E5FF6" w:rsidRPr="00917838" w:rsidRDefault="005E5FF6" w:rsidP="00917838">
      <w:pPr>
        <w:numPr>
          <w:ilvl w:val="0"/>
          <w:numId w:val="23"/>
        </w:numPr>
        <w:spacing w:line="259" w:lineRule="auto"/>
        <w:rPr>
          <w:rFonts w:eastAsiaTheme="minorHAnsi"/>
          <w:bCs/>
        </w:rPr>
      </w:pPr>
      <w:r w:rsidRPr="005E5FF6">
        <w:rPr>
          <w:rFonts w:eastAsiaTheme="minorHAnsi"/>
          <w:bCs/>
          <w:i/>
          <w:iCs/>
        </w:rPr>
        <w:t>"It was nice how it had checks along the way."</w:t>
      </w:r>
    </w:p>
    <w:p w14:paraId="5FBBF995" w14:textId="77777777" w:rsidR="00917838" w:rsidRPr="005E5FF6" w:rsidRDefault="00917838" w:rsidP="00917838">
      <w:pPr>
        <w:spacing w:line="259" w:lineRule="auto"/>
        <w:ind w:left="720"/>
        <w:rPr>
          <w:rFonts w:eastAsiaTheme="minorHAnsi"/>
          <w:bCs/>
        </w:rPr>
      </w:pPr>
    </w:p>
    <w:p w14:paraId="6A4CCA21" w14:textId="77777777" w:rsidR="005E5FF6" w:rsidRPr="005E5FF6" w:rsidRDefault="005E5FF6" w:rsidP="00917838">
      <w:pPr>
        <w:spacing w:line="259" w:lineRule="auto"/>
        <w:rPr>
          <w:rFonts w:eastAsiaTheme="minorHAnsi"/>
          <w:bCs/>
          <w:i/>
          <w:iCs/>
          <w:u w:val="single"/>
        </w:rPr>
      </w:pPr>
      <w:r w:rsidRPr="005E5FF6">
        <w:rPr>
          <w:rFonts w:eastAsiaTheme="minorHAnsi"/>
          <w:bCs/>
          <w:i/>
          <w:iCs/>
          <w:u w:val="single"/>
        </w:rPr>
        <w:t>Theme 2: Cognitive Engagement</w:t>
      </w:r>
    </w:p>
    <w:p w14:paraId="1EF34C2D" w14:textId="77777777" w:rsidR="005E5FF6" w:rsidRPr="005E5FF6" w:rsidRDefault="005E5FF6" w:rsidP="00917838">
      <w:pPr>
        <w:spacing w:line="259" w:lineRule="auto"/>
        <w:rPr>
          <w:rFonts w:eastAsiaTheme="minorHAnsi"/>
          <w:bCs/>
        </w:rPr>
      </w:pPr>
      <w:r w:rsidRPr="005E5FF6">
        <w:rPr>
          <w:rFonts w:eastAsiaTheme="minorHAnsi"/>
          <w:bCs/>
        </w:rPr>
        <w:t>Students recognized that the game forced them to think, rather than just copy answers.</w:t>
      </w:r>
    </w:p>
    <w:p w14:paraId="76BE1B4F" w14:textId="77777777" w:rsidR="005E5FF6" w:rsidRPr="005E5FF6" w:rsidRDefault="005E5FF6" w:rsidP="00917838">
      <w:pPr>
        <w:numPr>
          <w:ilvl w:val="0"/>
          <w:numId w:val="24"/>
        </w:numPr>
        <w:spacing w:line="259" w:lineRule="auto"/>
        <w:rPr>
          <w:rFonts w:eastAsiaTheme="minorHAnsi"/>
          <w:bCs/>
        </w:rPr>
      </w:pPr>
      <w:r w:rsidRPr="005E5FF6">
        <w:rPr>
          <w:rFonts w:eastAsiaTheme="minorHAnsi"/>
          <w:bCs/>
          <w:i/>
          <w:iCs/>
        </w:rPr>
        <w:t xml:space="preserve">"The Excel game provided </w:t>
      </w:r>
      <w:proofErr w:type="gramStart"/>
      <w:r w:rsidRPr="005E5FF6">
        <w:rPr>
          <w:rFonts w:eastAsiaTheme="minorHAnsi"/>
          <w:bCs/>
          <w:i/>
          <w:iCs/>
        </w:rPr>
        <w:t>me</w:t>
      </w:r>
      <w:proofErr w:type="gramEnd"/>
      <w:r w:rsidRPr="005E5FF6">
        <w:rPr>
          <w:rFonts w:eastAsiaTheme="minorHAnsi"/>
          <w:bCs/>
          <w:i/>
          <w:iCs/>
        </w:rPr>
        <w:t xml:space="preserve"> the ability to process the information in a backwards and forward manner, which helped conceptualize the material."</w:t>
      </w:r>
    </w:p>
    <w:p w14:paraId="762A920B" w14:textId="77777777" w:rsidR="005E5FF6" w:rsidRPr="00917838" w:rsidRDefault="005E5FF6" w:rsidP="00917838">
      <w:pPr>
        <w:numPr>
          <w:ilvl w:val="0"/>
          <w:numId w:val="24"/>
        </w:numPr>
        <w:spacing w:line="259" w:lineRule="auto"/>
        <w:rPr>
          <w:rFonts w:eastAsiaTheme="minorHAnsi"/>
          <w:bCs/>
        </w:rPr>
      </w:pPr>
      <w:r w:rsidRPr="005E5FF6">
        <w:rPr>
          <w:rFonts w:eastAsiaTheme="minorHAnsi"/>
          <w:bCs/>
          <w:i/>
          <w:iCs/>
        </w:rPr>
        <w:t>"They helped me understand the concept more because I was able to work on it and think through how cash flow works."</w:t>
      </w:r>
    </w:p>
    <w:p w14:paraId="688010D9" w14:textId="77777777" w:rsidR="00917838" w:rsidRPr="005E5FF6" w:rsidRDefault="00917838" w:rsidP="00917838">
      <w:pPr>
        <w:spacing w:line="259" w:lineRule="auto"/>
        <w:ind w:left="720"/>
        <w:rPr>
          <w:rFonts w:eastAsiaTheme="minorHAnsi"/>
          <w:bCs/>
        </w:rPr>
      </w:pPr>
    </w:p>
    <w:p w14:paraId="5A31A2DC" w14:textId="77777777" w:rsidR="005E5FF6" w:rsidRPr="005E5FF6" w:rsidRDefault="005E5FF6" w:rsidP="00917838">
      <w:pPr>
        <w:spacing w:line="259" w:lineRule="auto"/>
        <w:rPr>
          <w:rFonts w:eastAsiaTheme="minorHAnsi"/>
          <w:bCs/>
          <w:i/>
          <w:iCs/>
          <w:u w:val="single"/>
        </w:rPr>
      </w:pPr>
      <w:r w:rsidRPr="005E5FF6">
        <w:rPr>
          <w:rFonts w:eastAsiaTheme="minorHAnsi"/>
          <w:bCs/>
          <w:i/>
          <w:iCs/>
          <w:u w:val="single"/>
        </w:rPr>
        <w:t>Theme 3: Fun and Motivation</w:t>
      </w:r>
    </w:p>
    <w:p w14:paraId="3D41BD4B" w14:textId="77777777" w:rsidR="005E5FF6" w:rsidRPr="005E5FF6" w:rsidRDefault="005E5FF6" w:rsidP="00917838">
      <w:pPr>
        <w:spacing w:line="259" w:lineRule="auto"/>
        <w:rPr>
          <w:rFonts w:eastAsiaTheme="minorHAnsi"/>
          <w:bCs/>
        </w:rPr>
      </w:pPr>
      <w:r w:rsidRPr="005E5FF6">
        <w:rPr>
          <w:rFonts w:eastAsiaTheme="minorHAnsi"/>
          <w:bCs/>
        </w:rPr>
        <w:t xml:space="preserve">Several students described </w:t>
      </w:r>
      <w:proofErr w:type="gramStart"/>
      <w:r w:rsidRPr="005E5FF6">
        <w:rPr>
          <w:rFonts w:eastAsiaTheme="minorHAnsi"/>
          <w:bCs/>
        </w:rPr>
        <w:t>the homework</w:t>
      </w:r>
      <w:proofErr w:type="gramEnd"/>
      <w:r w:rsidRPr="005E5FF6">
        <w:rPr>
          <w:rFonts w:eastAsiaTheme="minorHAnsi"/>
          <w:bCs/>
        </w:rPr>
        <w:t xml:space="preserve"> as "fun" or "game-like," terms rarely associated with construction finance.</w:t>
      </w:r>
    </w:p>
    <w:p w14:paraId="1E07CB40" w14:textId="77777777" w:rsidR="005E5FF6" w:rsidRPr="005E5FF6" w:rsidRDefault="005E5FF6" w:rsidP="00917838">
      <w:pPr>
        <w:numPr>
          <w:ilvl w:val="0"/>
          <w:numId w:val="25"/>
        </w:numPr>
        <w:spacing w:line="259" w:lineRule="auto"/>
        <w:rPr>
          <w:rFonts w:eastAsiaTheme="minorHAnsi"/>
          <w:bCs/>
        </w:rPr>
      </w:pPr>
      <w:r w:rsidRPr="005E5FF6">
        <w:rPr>
          <w:rFonts w:eastAsiaTheme="minorHAnsi"/>
          <w:bCs/>
          <w:i/>
          <w:iCs/>
        </w:rPr>
        <w:t>"I actually enjoyed doing it, although it was time consuming."</w:t>
      </w:r>
    </w:p>
    <w:p w14:paraId="2C0D2A65" w14:textId="77777777" w:rsidR="005E5FF6" w:rsidRPr="00917838" w:rsidRDefault="005E5FF6" w:rsidP="00917838">
      <w:pPr>
        <w:numPr>
          <w:ilvl w:val="0"/>
          <w:numId w:val="25"/>
        </w:numPr>
        <w:spacing w:line="259" w:lineRule="auto"/>
        <w:rPr>
          <w:rFonts w:eastAsiaTheme="minorHAnsi"/>
          <w:bCs/>
        </w:rPr>
      </w:pPr>
      <w:r w:rsidRPr="005E5FF6">
        <w:rPr>
          <w:rFonts w:eastAsiaTheme="minorHAnsi"/>
          <w:bCs/>
          <w:i/>
          <w:iCs/>
        </w:rPr>
        <w:t>"It was a great practice/game, as it’s engaging and motivating even."</w:t>
      </w:r>
    </w:p>
    <w:p w14:paraId="44281226" w14:textId="77777777" w:rsidR="00917838" w:rsidRPr="005E5FF6" w:rsidRDefault="00917838" w:rsidP="00917838">
      <w:pPr>
        <w:spacing w:line="259" w:lineRule="auto"/>
        <w:ind w:left="720"/>
        <w:rPr>
          <w:rFonts w:eastAsiaTheme="minorHAnsi"/>
          <w:bCs/>
        </w:rPr>
      </w:pPr>
    </w:p>
    <w:p w14:paraId="1BDF3BCE" w14:textId="497F5A60" w:rsidR="00E80ED5" w:rsidRDefault="005E5FF6" w:rsidP="00917838">
      <w:pPr>
        <w:spacing w:line="259" w:lineRule="auto"/>
        <w:rPr>
          <w:rFonts w:eastAsiaTheme="minorHAnsi"/>
          <w:bCs/>
        </w:rPr>
      </w:pPr>
      <w:r w:rsidRPr="005E5FF6">
        <w:rPr>
          <w:rFonts w:eastAsiaTheme="minorHAnsi"/>
          <w:bCs/>
        </w:rPr>
        <w:t>Th</w:t>
      </w:r>
      <w:r w:rsidR="00A0062C" w:rsidRPr="00A0062C">
        <w:rPr>
          <w:rFonts w:eastAsiaTheme="minorHAnsi"/>
          <w:bCs/>
        </w:rPr>
        <w:t>ese results align</w:t>
      </w:r>
      <w:r w:rsidRPr="005E5FF6">
        <w:rPr>
          <w:rFonts w:eastAsiaTheme="minorHAnsi"/>
          <w:bCs/>
        </w:rPr>
        <w:t xml:space="preserve"> with broader research on gamification in accounting</w:t>
      </w:r>
      <w:r w:rsidR="00130B5C" w:rsidRPr="00A0062C">
        <w:rPr>
          <w:rFonts w:eastAsiaTheme="minorHAnsi"/>
          <w:bCs/>
        </w:rPr>
        <w:t xml:space="preserve"> and finance</w:t>
      </w:r>
      <w:r w:rsidR="00253B14" w:rsidRPr="00A0062C">
        <w:rPr>
          <w:rFonts w:eastAsiaTheme="minorHAnsi"/>
          <w:bCs/>
        </w:rPr>
        <w:t>,</w:t>
      </w:r>
      <w:r w:rsidR="00130B5C" w:rsidRPr="00A0062C">
        <w:rPr>
          <w:rFonts w:eastAsiaTheme="minorHAnsi"/>
          <w:bCs/>
        </w:rPr>
        <w:t xml:space="preserve"> </w:t>
      </w:r>
      <w:r w:rsidRPr="005E5FF6">
        <w:rPr>
          <w:rFonts w:eastAsiaTheme="minorHAnsi"/>
          <w:bCs/>
        </w:rPr>
        <w:t>which suggests that game elements (points, visual feedback, "winning" a level) tap into intrinsic motivation, encouraging students to persist through difficult problems.</w:t>
      </w:r>
    </w:p>
    <w:p w14:paraId="3918E30B" w14:textId="77777777" w:rsidR="00917838" w:rsidRPr="00A0062C" w:rsidRDefault="00917838" w:rsidP="00917838">
      <w:pPr>
        <w:spacing w:line="259" w:lineRule="auto"/>
        <w:rPr>
          <w:rFonts w:eastAsiaTheme="minorHAnsi"/>
          <w:bCs/>
        </w:rPr>
      </w:pPr>
    </w:p>
    <w:p w14:paraId="41F83496" w14:textId="1FA57E81" w:rsidR="00D54E97" w:rsidRPr="00917838" w:rsidRDefault="00A0062C" w:rsidP="00917838">
      <w:pPr>
        <w:pStyle w:val="Heading3"/>
        <w:shd w:val="clear" w:color="auto" w:fill="FFFFFF"/>
        <w:spacing w:before="0" w:line="259" w:lineRule="auto"/>
        <w:rPr>
          <w:rFonts w:ascii="Times New Roman" w:eastAsiaTheme="minorHAnsi" w:hAnsi="Times New Roman" w:cs="Times New Roman"/>
          <w:i/>
          <w:iCs/>
          <w:color w:val="auto"/>
        </w:rPr>
      </w:pPr>
      <w:r w:rsidRPr="00917838">
        <w:rPr>
          <w:rFonts w:ascii="Times New Roman" w:eastAsiaTheme="minorHAnsi" w:hAnsi="Times New Roman" w:cs="Times New Roman"/>
          <w:i/>
          <w:iCs/>
          <w:color w:val="auto"/>
        </w:rPr>
        <w:t xml:space="preserve">3.6.3 </w:t>
      </w:r>
      <w:r w:rsidR="00D54E97" w:rsidRPr="00917838">
        <w:rPr>
          <w:rFonts w:ascii="Times New Roman" w:eastAsiaTheme="minorHAnsi" w:hAnsi="Times New Roman" w:cs="Times New Roman"/>
          <w:i/>
          <w:iCs/>
          <w:color w:val="auto"/>
        </w:rPr>
        <w:t>Qualitative Assessment: Instructional Design Review</w:t>
      </w:r>
    </w:p>
    <w:p w14:paraId="6A063555" w14:textId="77777777" w:rsidR="00D54E97" w:rsidRDefault="00D54E97" w:rsidP="00917838">
      <w:pPr>
        <w:pStyle w:val="NormalWeb"/>
        <w:shd w:val="clear" w:color="auto" w:fill="FFFFFF"/>
        <w:spacing w:before="0" w:beforeAutospacing="0" w:after="0" w:afterAutospacing="0" w:line="259" w:lineRule="auto"/>
        <w:rPr>
          <w:rStyle w:val="button-container"/>
          <w:color w:val="1F1F1F"/>
        </w:rPr>
      </w:pPr>
      <w:r w:rsidRPr="00A0062C">
        <w:rPr>
          <w:color w:val="1F1F1F"/>
        </w:rPr>
        <w:t>To ensure pedagogical rigor and technical quality, the course shell created in D2L Brightspace was subjected to a comprehensive formal review b</w:t>
      </w:r>
      <w:r w:rsidRPr="00917838">
        <w:rPr>
          <w:color w:val="1F1F1F"/>
        </w:rPr>
        <w:t>y Marcus Green,</w:t>
      </w:r>
      <w:r w:rsidRPr="00A0062C">
        <w:rPr>
          <w:color w:val="1F1F1F"/>
        </w:rPr>
        <w:t xml:space="preserve"> Instructional Designer at Kennesaw State University. The course was evaluated against </w:t>
      </w:r>
      <w:proofErr w:type="gramStart"/>
      <w:r w:rsidRPr="00A0062C">
        <w:rPr>
          <w:color w:val="1F1F1F"/>
        </w:rPr>
        <w:t>a strict</w:t>
      </w:r>
      <w:proofErr w:type="gramEnd"/>
      <w:r w:rsidRPr="00A0062C">
        <w:rPr>
          <w:color w:val="1F1F1F"/>
        </w:rPr>
        <w:t xml:space="preserve"> quality assurance rubric based on Quality Matters (QM) standards.</w:t>
      </w:r>
      <w:r w:rsidRPr="00A0062C">
        <w:rPr>
          <w:rStyle w:val="button-container"/>
          <w:color w:val="1F1F1F"/>
        </w:rPr>
        <w:t>   </w:t>
      </w:r>
    </w:p>
    <w:p w14:paraId="2B77DBBC" w14:textId="77777777" w:rsidR="00917838" w:rsidRPr="00A0062C" w:rsidRDefault="00917838" w:rsidP="00917838">
      <w:pPr>
        <w:pStyle w:val="NormalWeb"/>
        <w:shd w:val="clear" w:color="auto" w:fill="FFFFFF"/>
        <w:spacing w:before="0" w:beforeAutospacing="0" w:after="0" w:afterAutospacing="0" w:line="259" w:lineRule="auto"/>
        <w:rPr>
          <w:color w:val="1F1F1F"/>
        </w:rPr>
      </w:pPr>
    </w:p>
    <w:p w14:paraId="21B7FCFD" w14:textId="6EFA8C55" w:rsidR="00D54E97" w:rsidRPr="00A0062C" w:rsidRDefault="00D54E97" w:rsidP="00917838">
      <w:pPr>
        <w:pStyle w:val="NormalWeb"/>
        <w:shd w:val="clear" w:color="auto" w:fill="FFFFFF"/>
        <w:spacing w:before="0" w:beforeAutospacing="0" w:after="0" w:afterAutospacing="0" w:line="259" w:lineRule="auto"/>
        <w:rPr>
          <w:color w:val="1F1F1F"/>
        </w:rPr>
      </w:pPr>
      <w:r w:rsidRPr="00A0062C">
        <w:rPr>
          <w:color w:val="1F1F1F"/>
        </w:rPr>
        <w:t>The review assessed the course across eight general standards, including Course Overview, Learning Objectives, Assessment, Instructional Materials, and Accessibility. The course shell received an exceptionally high approval score of </w:t>
      </w:r>
      <w:r w:rsidRPr="005261F7">
        <w:rPr>
          <w:color w:val="1F1F1F"/>
        </w:rPr>
        <w:t>94/100</w:t>
      </w:r>
      <w:r w:rsidRPr="00A0062C">
        <w:rPr>
          <w:color w:val="1F1F1F"/>
        </w:rPr>
        <w:t xml:space="preserve">, validating the quality and significance of the transformed course </w:t>
      </w:r>
      <w:proofErr w:type="spellStart"/>
      <w:proofErr w:type="gramStart"/>
      <w:r w:rsidRPr="00A0062C">
        <w:rPr>
          <w:color w:val="1F1F1F"/>
        </w:rPr>
        <w:t>materials.Key</w:t>
      </w:r>
      <w:proofErr w:type="spellEnd"/>
      <w:proofErr w:type="gramEnd"/>
      <w:r w:rsidRPr="00A0062C">
        <w:rPr>
          <w:color w:val="1F1F1F"/>
        </w:rPr>
        <w:t xml:space="preserve"> highlights from the review included:</w:t>
      </w:r>
    </w:p>
    <w:p w14:paraId="2A713527" w14:textId="77777777" w:rsidR="00D54E97" w:rsidRPr="00A0062C" w:rsidRDefault="00D54E97" w:rsidP="00917838">
      <w:pPr>
        <w:pStyle w:val="NormalWeb"/>
        <w:numPr>
          <w:ilvl w:val="0"/>
          <w:numId w:val="32"/>
        </w:numPr>
        <w:shd w:val="clear" w:color="auto" w:fill="FFFFFF"/>
        <w:spacing w:before="0" w:beforeAutospacing="0" w:after="0" w:afterAutospacing="0" w:line="259" w:lineRule="auto"/>
        <w:rPr>
          <w:color w:val="1F1F1F"/>
        </w:rPr>
      </w:pPr>
      <w:r w:rsidRPr="005261F7">
        <w:rPr>
          <w:color w:val="1F1F1F"/>
        </w:rPr>
        <w:t>Perfect Scores (3/3):</w:t>
      </w:r>
      <w:r w:rsidRPr="00A0062C">
        <w:rPr>
          <w:color w:val="1F1F1F"/>
        </w:rPr>
        <w:t> Achieved in critical areas such as "Learning Objectives" (Standard 2) and "Assessment and Measurement" (Standard 3), confirming that the new OER materials were properly aligned with the course goals.</w:t>
      </w:r>
    </w:p>
    <w:p w14:paraId="5410D855" w14:textId="77777777" w:rsidR="00D54E97" w:rsidRPr="00A0062C" w:rsidRDefault="00D54E97" w:rsidP="00917838">
      <w:pPr>
        <w:pStyle w:val="NormalWeb"/>
        <w:numPr>
          <w:ilvl w:val="0"/>
          <w:numId w:val="32"/>
        </w:numPr>
        <w:shd w:val="clear" w:color="auto" w:fill="FFFFFF"/>
        <w:spacing w:before="0" w:beforeAutospacing="0" w:after="0" w:afterAutospacing="0" w:line="259" w:lineRule="auto"/>
        <w:rPr>
          <w:color w:val="1F1F1F"/>
        </w:rPr>
      </w:pPr>
      <w:r w:rsidRPr="00E0330D">
        <w:rPr>
          <w:color w:val="1F1F1F"/>
        </w:rPr>
        <w:lastRenderedPageBreak/>
        <w:t>Instructional Materials:</w:t>
      </w:r>
      <w:r w:rsidRPr="00A0062C">
        <w:rPr>
          <w:color w:val="1F1F1F"/>
        </w:rPr>
        <w:t> The reviewer noted that "The instructional materials contribute to the achievement of the stated learning objectives," scoring 12/12 in Standard 4.</w:t>
      </w:r>
    </w:p>
    <w:p w14:paraId="25481371" w14:textId="77777777" w:rsidR="00D54E97" w:rsidRDefault="00D54E97" w:rsidP="00917838">
      <w:pPr>
        <w:pStyle w:val="NormalWeb"/>
        <w:numPr>
          <w:ilvl w:val="0"/>
          <w:numId w:val="32"/>
        </w:numPr>
        <w:shd w:val="clear" w:color="auto" w:fill="FFFFFF"/>
        <w:spacing w:before="0" w:beforeAutospacing="0" w:after="0" w:afterAutospacing="0" w:line="259" w:lineRule="auto"/>
        <w:rPr>
          <w:color w:val="1F1F1F"/>
        </w:rPr>
      </w:pPr>
      <w:r w:rsidRPr="00786654">
        <w:rPr>
          <w:color w:val="1F1F1F"/>
        </w:rPr>
        <w:t>Learner Support:</w:t>
      </w:r>
      <w:r w:rsidRPr="00A0062C">
        <w:rPr>
          <w:color w:val="1F1F1F"/>
        </w:rPr>
        <w:t> The course received full marks (10/10) for facilitating learner access to institutional support services.</w:t>
      </w:r>
    </w:p>
    <w:p w14:paraId="6DA4A1BB" w14:textId="77777777" w:rsidR="00786654" w:rsidRPr="00A0062C" w:rsidRDefault="00786654" w:rsidP="00786654">
      <w:pPr>
        <w:pStyle w:val="NormalWeb"/>
        <w:shd w:val="clear" w:color="auto" w:fill="FFFFFF"/>
        <w:spacing w:before="0" w:beforeAutospacing="0" w:after="0" w:afterAutospacing="0" w:line="259" w:lineRule="auto"/>
        <w:ind w:left="720"/>
        <w:rPr>
          <w:color w:val="1F1F1F"/>
        </w:rPr>
      </w:pPr>
    </w:p>
    <w:p w14:paraId="591E925E" w14:textId="77777777" w:rsidR="00D54E97" w:rsidRPr="00A0062C" w:rsidRDefault="00D54E97" w:rsidP="00917838">
      <w:pPr>
        <w:pStyle w:val="NormalWeb"/>
        <w:shd w:val="clear" w:color="auto" w:fill="FFFFFF"/>
        <w:spacing w:before="0" w:beforeAutospacing="0" w:after="0" w:afterAutospacing="0" w:line="259" w:lineRule="auto"/>
        <w:rPr>
          <w:color w:val="1F1F1F"/>
        </w:rPr>
      </w:pPr>
      <w:r w:rsidRPr="00A0062C">
        <w:rPr>
          <w:color w:val="1F1F1F"/>
        </w:rPr>
        <w:t>This external validation from an instructional design expert confirms that the transition to OER did not compromise the quality of the course design; rather, it maintained a high standard of excellence suitable for a core technical curriculum.</w:t>
      </w:r>
    </w:p>
    <w:p w14:paraId="2107F97D" w14:textId="2FC17221" w:rsidR="00F70B70" w:rsidRPr="004F2656" w:rsidRDefault="00F70B70" w:rsidP="009C1D0A">
      <w:pPr>
        <w:pStyle w:val="Heading1"/>
        <w:numPr>
          <w:ilvl w:val="0"/>
          <w:numId w:val="28"/>
        </w:numPr>
        <w:ind w:left="360"/>
      </w:pPr>
      <w:r w:rsidRPr="004F2656">
        <w:t>Sustainability Plan</w:t>
      </w:r>
    </w:p>
    <w:p w14:paraId="36C4BC5C" w14:textId="04B7B59B" w:rsidR="00B90CC8" w:rsidRDefault="00101A24" w:rsidP="003F4D85">
      <w:pPr>
        <w:ind w:left="360"/>
        <w:rPr>
          <w:i/>
        </w:rPr>
      </w:pPr>
      <w:r w:rsidRPr="003F4D85">
        <w:rPr>
          <w:i/>
        </w:rPr>
        <w:t>Describe</w:t>
      </w:r>
      <w:r w:rsidR="00F70B70" w:rsidRPr="003F4D85">
        <w:rPr>
          <w:i/>
        </w:rPr>
        <w:t xml:space="preserve"> how your project team</w:t>
      </w:r>
      <w:r w:rsidRPr="003F4D85">
        <w:rPr>
          <w:i/>
        </w:rPr>
        <w:t xml:space="preserve"> or department</w:t>
      </w:r>
      <w:r w:rsidR="00F70B70" w:rsidRPr="003F4D85">
        <w:rPr>
          <w:i/>
        </w:rPr>
        <w:t xml:space="preserve"> will offer the </w:t>
      </w:r>
      <w:r w:rsidR="00C66162" w:rsidRPr="003F4D85">
        <w:rPr>
          <w:i/>
        </w:rPr>
        <w:t xml:space="preserve">materials in the </w:t>
      </w:r>
      <w:r w:rsidR="00F70B70" w:rsidRPr="003F4D85">
        <w:rPr>
          <w:i/>
        </w:rPr>
        <w:t xml:space="preserve">course(s) in the future, including the maintenance and updating of course materials. </w:t>
      </w:r>
    </w:p>
    <w:p w14:paraId="12CB4714" w14:textId="77777777" w:rsidR="00786654" w:rsidRDefault="00786654" w:rsidP="007649A2">
      <w:pPr>
        <w:pStyle w:val="NormalWeb"/>
        <w:spacing w:before="0" w:beforeAutospacing="0" w:after="160" w:afterAutospacing="0" w:line="259" w:lineRule="auto"/>
      </w:pPr>
    </w:p>
    <w:p w14:paraId="6502F023" w14:textId="5B0CBD69" w:rsidR="00C61750" w:rsidRPr="007649A2" w:rsidRDefault="00B068B7" w:rsidP="00786654">
      <w:pPr>
        <w:pStyle w:val="NormalWeb"/>
        <w:spacing w:before="0" w:beforeAutospacing="0" w:after="0" w:afterAutospacing="0" w:line="259" w:lineRule="auto"/>
      </w:pPr>
      <w:r w:rsidRPr="007649A2">
        <w:t xml:space="preserve">All sections of CM 3800 will access the OER content via the link shared with the ALG and </w:t>
      </w:r>
      <w:r w:rsidR="003B3AE6" w:rsidRPr="007649A2">
        <w:t xml:space="preserve">embedded in the </w:t>
      </w:r>
      <w:r w:rsidRPr="007649A2">
        <w:t xml:space="preserve">D2L. The textbook is recommended </w:t>
      </w:r>
      <w:r w:rsidR="003B3AE6" w:rsidRPr="007649A2">
        <w:t xml:space="preserve">(only) </w:t>
      </w:r>
      <w:r w:rsidRPr="007649A2">
        <w:t xml:space="preserve">and not required for </w:t>
      </w:r>
      <w:r w:rsidR="006E0008" w:rsidRPr="007649A2">
        <w:t>all</w:t>
      </w:r>
      <w:r w:rsidR="00F9480D" w:rsidRPr="007649A2">
        <w:t xml:space="preserve"> four sections of the course during Spring 2026. </w:t>
      </w:r>
    </w:p>
    <w:p w14:paraId="21DE2CB8" w14:textId="1AE837CB" w:rsidR="0090303B" w:rsidRPr="007649A2" w:rsidRDefault="0090303B" w:rsidP="00786654">
      <w:pPr>
        <w:pStyle w:val="ListBullet"/>
        <w:spacing w:line="259" w:lineRule="auto"/>
      </w:pPr>
      <w:r w:rsidRPr="007649A2">
        <w:t>To ensure the longevity of these materials and their continued alignment with ACCE standards, the following sustainability plan has been established.</w:t>
      </w:r>
    </w:p>
    <w:p w14:paraId="09FB3F1E" w14:textId="43E5AD23" w:rsidR="00C61750" w:rsidRPr="007649A2" w:rsidRDefault="00C61750" w:rsidP="00786654">
      <w:pPr>
        <w:pStyle w:val="NormalWeb"/>
        <w:numPr>
          <w:ilvl w:val="0"/>
          <w:numId w:val="8"/>
        </w:numPr>
        <w:spacing w:before="0" w:beforeAutospacing="0" w:after="0" w:afterAutospacing="0" w:line="259" w:lineRule="auto"/>
      </w:pPr>
      <w:r w:rsidRPr="00786654">
        <w:t>Annual Audit: Dr</w:t>
      </w:r>
      <w:r w:rsidRPr="007649A2">
        <w:t xml:space="preserve">. Juneja and Dr. Meadati will conduct a comprehensive review of all materials each summer. This annual </w:t>
      </w:r>
      <w:r w:rsidR="005E6740" w:rsidRPr="007649A2">
        <w:t xml:space="preserve">review and </w:t>
      </w:r>
      <w:r w:rsidRPr="007649A2">
        <w:t>update is critical for maintaining alignment with current regulations and ensuring high-quality content.</w:t>
      </w:r>
      <w:r w:rsidR="00207965" w:rsidRPr="007649A2">
        <w:t xml:space="preserve"> The end-of-semester course evaluation feedback and data will also be utilized to inform improvements ensuring the content meets the evolving needs of students and industry stakeholders.</w:t>
      </w:r>
    </w:p>
    <w:p w14:paraId="06B12ACF" w14:textId="5A27200D" w:rsidR="00C61750" w:rsidRDefault="00C61750" w:rsidP="00786654">
      <w:pPr>
        <w:pStyle w:val="NormalWeb"/>
        <w:numPr>
          <w:ilvl w:val="0"/>
          <w:numId w:val="8"/>
        </w:numPr>
        <w:spacing w:before="0" w:beforeAutospacing="0" w:after="0" w:afterAutospacing="0" w:line="259" w:lineRule="auto"/>
      </w:pPr>
      <w:r w:rsidRPr="000E4383">
        <w:t>Version Control Protocol:</w:t>
      </w:r>
      <w:r w:rsidRPr="007649A2">
        <w:t xml:space="preserve"> We will implement a strict version control system (e.g., "Module 2 - v2026.0") to ensure that outdated</w:t>
      </w:r>
      <w:r w:rsidR="00261A9B" w:rsidRPr="007649A2">
        <w:t>/not required</w:t>
      </w:r>
      <w:r w:rsidRPr="007649A2">
        <w:t xml:space="preserve"> information does not persist in the curriculum.</w:t>
      </w:r>
    </w:p>
    <w:p w14:paraId="6C8D03D7" w14:textId="77777777" w:rsidR="007649A2" w:rsidRDefault="007649A2" w:rsidP="00786654">
      <w:pPr>
        <w:pStyle w:val="NormalWeb"/>
        <w:spacing w:before="0" w:beforeAutospacing="0" w:after="0" w:afterAutospacing="0" w:line="259" w:lineRule="auto"/>
      </w:pPr>
    </w:p>
    <w:p w14:paraId="5D2930F4" w14:textId="4DE0702F" w:rsidR="00471C68" w:rsidRPr="004F2656" w:rsidRDefault="00471C68" w:rsidP="009C1D0A">
      <w:pPr>
        <w:pStyle w:val="Heading1"/>
        <w:numPr>
          <w:ilvl w:val="0"/>
          <w:numId w:val="28"/>
        </w:numPr>
        <w:ind w:left="360"/>
      </w:pPr>
      <w:r w:rsidRPr="004F2656">
        <w:t xml:space="preserve">Future </w:t>
      </w:r>
      <w:r w:rsidR="00190A51">
        <w:t xml:space="preserve">Affordable Materials </w:t>
      </w:r>
      <w:r w:rsidRPr="004F2656">
        <w:t>Plans</w:t>
      </w:r>
    </w:p>
    <w:p w14:paraId="40F114A6" w14:textId="2C237B6B" w:rsidR="00EE7C7E" w:rsidRDefault="00EE7C7E" w:rsidP="000E4383">
      <w:pPr>
        <w:ind w:left="360"/>
        <w:rPr>
          <w:i/>
        </w:rPr>
      </w:pPr>
      <w:r w:rsidRPr="003F4D85">
        <w:rPr>
          <w:i/>
        </w:rPr>
        <w:t>Describe any impacts or influences this project has had on your thinking about or</w:t>
      </w:r>
      <w:r w:rsidR="00C66162" w:rsidRPr="003F4D85">
        <w:rPr>
          <w:i/>
        </w:rPr>
        <w:t xml:space="preserve"> </w:t>
      </w:r>
      <w:r w:rsidR="003E1BCB" w:rsidRPr="003F4D85">
        <w:rPr>
          <w:i/>
        </w:rPr>
        <w:t>selection of learning materials i</w:t>
      </w:r>
      <w:r w:rsidRPr="003F4D85">
        <w:rPr>
          <w:i/>
        </w:rPr>
        <w:t>n this and other courses that you will teach in the future.</w:t>
      </w:r>
    </w:p>
    <w:p w14:paraId="38D52583" w14:textId="77777777" w:rsidR="007649A2" w:rsidRDefault="007649A2" w:rsidP="000E4383">
      <w:pPr>
        <w:ind w:left="360"/>
        <w:rPr>
          <w:highlight w:val="yellow"/>
        </w:rPr>
      </w:pPr>
    </w:p>
    <w:p w14:paraId="16F53199" w14:textId="00CF439D" w:rsidR="00DD5BD3" w:rsidRDefault="00B854C7" w:rsidP="000E4383">
      <w:pPr>
        <w:ind w:left="360"/>
        <w:rPr>
          <w:color w:val="000000"/>
        </w:rPr>
      </w:pPr>
      <w:r w:rsidRPr="007649A2">
        <w:t>Encouraged</w:t>
      </w:r>
      <w:r w:rsidR="00DD5BD3" w:rsidRPr="007649A2">
        <w:t xml:space="preserve"> by the positive results of this project, the team submitted a proposal for a Construction and Property Law Transformative Grant. Although this proposal was not funded due to budgetary limitations, we remain committed to the initiative and plan to refine the scope for resubmission in the upcoming cycle</w:t>
      </w:r>
      <w:r w:rsidR="00DD5BD3" w:rsidRPr="007649A2">
        <w:rPr>
          <w:color w:val="000000"/>
        </w:rPr>
        <w:t xml:space="preserve">. </w:t>
      </w:r>
      <w:r w:rsidR="00A44C7F" w:rsidRPr="007649A2">
        <w:rPr>
          <w:color w:val="000000"/>
        </w:rPr>
        <w:t xml:space="preserve">Additionally, complex and challenging courses such as facility management finance, development finance are the </w:t>
      </w:r>
      <w:r w:rsidR="000E4383" w:rsidRPr="007649A2">
        <w:rPr>
          <w:color w:val="000000"/>
        </w:rPr>
        <w:t>best-case</w:t>
      </w:r>
      <w:r w:rsidR="00A44C7F" w:rsidRPr="007649A2">
        <w:rPr>
          <w:color w:val="000000"/>
        </w:rPr>
        <w:t xml:space="preserve"> scenarios to incorporate </w:t>
      </w:r>
      <w:r w:rsidR="003B3AE6" w:rsidRPr="007649A2">
        <w:rPr>
          <w:color w:val="000000"/>
        </w:rPr>
        <w:t xml:space="preserve">OER.  </w:t>
      </w:r>
      <w:r w:rsidR="00A44C7F" w:rsidRPr="007649A2">
        <w:rPr>
          <w:color w:val="000000"/>
        </w:rPr>
        <w:t xml:space="preserve"> </w:t>
      </w:r>
    </w:p>
    <w:p w14:paraId="7E42E74D" w14:textId="77777777" w:rsidR="000E4383" w:rsidRPr="007649A2" w:rsidRDefault="000E4383" w:rsidP="000E4383">
      <w:pPr>
        <w:ind w:left="360"/>
        <w:rPr>
          <w:b/>
        </w:rPr>
      </w:pPr>
    </w:p>
    <w:p w14:paraId="233158E6" w14:textId="637A53E6" w:rsidR="007D43F7" w:rsidRPr="007649A2" w:rsidRDefault="003E638F" w:rsidP="000E4383">
      <w:pPr>
        <w:ind w:left="360"/>
        <w:rPr>
          <w:bCs/>
        </w:rPr>
      </w:pPr>
      <w:r w:rsidRPr="007649A2">
        <w:rPr>
          <w:bCs/>
        </w:rPr>
        <w:t>Additionally, t</w:t>
      </w:r>
      <w:r w:rsidR="007D43F7" w:rsidRPr="007D43F7">
        <w:rPr>
          <w:rFonts w:eastAsia="Google Sans Text"/>
          <w:bCs/>
        </w:rPr>
        <w:t xml:space="preserve">he project team plans to apply for a continuous improvement grant </w:t>
      </w:r>
      <w:r w:rsidR="001208E5" w:rsidRPr="007649A2">
        <w:rPr>
          <w:bCs/>
        </w:rPr>
        <w:t xml:space="preserve">for </w:t>
      </w:r>
      <w:r w:rsidR="00C242F9" w:rsidRPr="007649A2">
        <w:rPr>
          <w:bCs/>
        </w:rPr>
        <w:t xml:space="preserve">CM 3800 </w:t>
      </w:r>
      <w:r w:rsidR="007D43F7" w:rsidRPr="007D43F7">
        <w:rPr>
          <w:rFonts w:eastAsia="Google Sans Text"/>
          <w:bCs/>
        </w:rPr>
        <w:t xml:space="preserve">to </w:t>
      </w:r>
      <w:r w:rsidR="00AD1092" w:rsidRPr="007649A2">
        <w:rPr>
          <w:bCs/>
        </w:rPr>
        <w:t>focus on refining the technological delivery of the course.</w:t>
      </w:r>
    </w:p>
    <w:p w14:paraId="486880AC" w14:textId="77777777" w:rsidR="000E4383" w:rsidRDefault="000E4383" w:rsidP="000E4383">
      <w:pPr>
        <w:ind w:left="360"/>
        <w:rPr>
          <w:i/>
          <w:iCs/>
        </w:rPr>
      </w:pPr>
    </w:p>
    <w:p w14:paraId="5A45E992" w14:textId="72C9F27C" w:rsidR="000E4383" w:rsidRDefault="00A0125D" w:rsidP="000E4383">
      <w:pPr>
        <w:ind w:left="360"/>
        <w:rPr>
          <w:bCs/>
        </w:rPr>
      </w:pPr>
      <w:r w:rsidRPr="000E4383">
        <w:rPr>
          <w:i/>
          <w:iCs/>
        </w:rPr>
        <w:lastRenderedPageBreak/>
        <w:t>Solving the "Mac vs. PC" Divide: A Low-Code/No-Code Approach</w:t>
      </w:r>
    </w:p>
    <w:p w14:paraId="7C9B2AF6" w14:textId="471E5C5B" w:rsidR="00A0125D" w:rsidRPr="00A0125D" w:rsidRDefault="00A0125D" w:rsidP="000E4383">
      <w:pPr>
        <w:ind w:left="360"/>
        <w:rPr>
          <w:bCs/>
        </w:rPr>
      </w:pPr>
      <w:r w:rsidRPr="00A0125D">
        <w:rPr>
          <w:bCs/>
        </w:rPr>
        <w:t xml:space="preserve">To address the compatibility issues experienced by macOS users, we </w:t>
      </w:r>
      <w:r w:rsidR="00C87162" w:rsidRPr="007649A2">
        <w:rPr>
          <w:bCs/>
        </w:rPr>
        <w:t xml:space="preserve">plan to </w:t>
      </w:r>
      <w:r w:rsidRPr="00A0125D">
        <w:rPr>
          <w:bCs/>
        </w:rPr>
        <w:t>simplify the technology stack by eliminating Visual Basic for Applications (VBA) macros from the practice files. Macros are the primary cause of security blocks and cross-platform errors on Mac devices.</w:t>
      </w:r>
    </w:p>
    <w:p w14:paraId="67CC2A5B" w14:textId="2904307C" w:rsidR="00A0125D" w:rsidRPr="00A0125D" w:rsidRDefault="00A0125D" w:rsidP="000E4383">
      <w:pPr>
        <w:numPr>
          <w:ilvl w:val="0"/>
          <w:numId w:val="9"/>
        </w:numPr>
        <w:rPr>
          <w:bCs/>
        </w:rPr>
      </w:pPr>
      <w:r w:rsidRPr="000E4383">
        <w:t>The "Native Excel" Strategy:</w:t>
      </w:r>
      <w:r w:rsidRPr="00A0125D">
        <w:rPr>
          <w:bCs/>
        </w:rPr>
        <w:t xml:space="preserve"> Future iterations of the Excel </w:t>
      </w:r>
      <w:r w:rsidR="00C87162" w:rsidRPr="007649A2">
        <w:rPr>
          <w:bCs/>
        </w:rPr>
        <w:t>g</w:t>
      </w:r>
      <w:r w:rsidRPr="00A0125D">
        <w:rPr>
          <w:bCs/>
        </w:rPr>
        <w:t xml:space="preserve">ame will </w:t>
      </w:r>
      <w:r w:rsidR="00C87162" w:rsidRPr="007649A2">
        <w:rPr>
          <w:bCs/>
        </w:rPr>
        <w:t xml:space="preserve">be designed </w:t>
      </w:r>
      <w:r w:rsidRPr="00A0125D">
        <w:rPr>
          <w:bCs/>
        </w:rPr>
        <w:t>exclusively on</w:t>
      </w:r>
      <w:r w:rsidRPr="00A0125D">
        <w:t xml:space="preserve"> standard Excel formulas</w:t>
      </w:r>
      <w:r w:rsidRPr="00A0125D">
        <w:rPr>
          <w:bCs/>
        </w:rPr>
        <w:t xml:space="preserve">. These features are native to the Open XML </w:t>
      </w:r>
      <w:proofErr w:type="gramStart"/>
      <w:r w:rsidRPr="00A0125D">
        <w:rPr>
          <w:bCs/>
        </w:rPr>
        <w:t>standard (.</w:t>
      </w:r>
      <w:proofErr w:type="gramEnd"/>
      <w:r w:rsidRPr="00A0125D">
        <w:rPr>
          <w:bCs/>
        </w:rPr>
        <w:t>xlsx format) and function identically on Windows, macOS, Excel Online, and even iPadOS.</w:t>
      </w:r>
    </w:p>
    <w:p w14:paraId="1E81E32A" w14:textId="77777777" w:rsidR="00A0125D" w:rsidRDefault="00A0125D" w:rsidP="000E4383">
      <w:pPr>
        <w:numPr>
          <w:ilvl w:val="0"/>
          <w:numId w:val="9"/>
        </w:numPr>
        <w:rPr>
          <w:bCs/>
        </w:rPr>
      </w:pPr>
      <w:r w:rsidRPr="000E4383">
        <w:t>Cloud-First Delivery:</w:t>
      </w:r>
      <w:r w:rsidRPr="00A0125D">
        <w:rPr>
          <w:bCs/>
        </w:rPr>
        <w:t xml:space="preserve"> By removing macros, the files become compatible with Excel for the Web (Office 365 Online). This allows students to complete the assignments directly in their web browser without installing software or worrying about their operating system, ensuring 100% equity in access.</w:t>
      </w:r>
    </w:p>
    <w:p w14:paraId="03095EAB" w14:textId="77777777" w:rsidR="000E4383" w:rsidRPr="00A0125D" w:rsidRDefault="000E4383" w:rsidP="000E4383">
      <w:pPr>
        <w:ind w:left="720"/>
        <w:rPr>
          <w:bCs/>
        </w:rPr>
      </w:pPr>
    </w:p>
    <w:p w14:paraId="2F5772DD" w14:textId="77777777" w:rsidR="000E4383" w:rsidRDefault="00A0125D" w:rsidP="000E4383">
      <w:pPr>
        <w:ind w:left="360"/>
        <w:rPr>
          <w:bCs/>
        </w:rPr>
      </w:pPr>
      <w:r w:rsidRPr="000E4383">
        <w:rPr>
          <w:i/>
          <w:iCs/>
        </w:rPr>
        <w:t xml:space="preserve">Implementation of Randomization (The "Infinite Practice" Model) </w:t>
      </w:r>
    </w:p>
    <w:p w14:paraId="77F490A1" w14:textId="7EA8A087" w:rsidR="00A0125D" w:rsidRDefault="00A0125D" w:rsidP="000E4383">
      <w:pPr>
        <w:ind w:left="360"/>
        <w:rPr>
          <w:bCs/>
        </w:rPr>
      </w:pPr>
      <w:r w:rsidRPr="00A0125D">
        <w:rPr>
          <w:bCs/>
        </w:rPr>
        <w:t xml:space="preserve">To prevent cheating and provide unlimited practice opportunities, we </w:t>
      </w:r>
      <w:r w:rsidR="002E7C5F" w:rsidRPr="007649A2">
        <w:rPr>
          <w:bCs/>
        </w:rPr>
        <w:t xml:space="preserve">expect to </w:t>
      </w:r>
      <w:r w:rsidRPr="00A0125D">
        <w:rPr>
          <w:bCs/>
        </w:rPr>
        <w:t xml:space="preserve">introduce variable datasets using standard </w:t>
      </w:r>
      <w:r w:rsidR="002E7C5F" w:rsidRPr="007649A2">
        <w:rPr>
          <w:bCs/>
        </w:rPr>
        <w:t>e</w:t>
      </w:r>
      <w:r w:rsidRPr="00A0125D">
        <w:rPr>
          <w:bCs/>
        </w:rPr>
        <w:t>xcel functions. This moves the assessment from static (everyone gets the same numbers) to dynamic (everyone gets a unique scenario).</w:t>
      </w:r>
    </w:p>
    <w:p w14:paraId="39857E3F" w14:textId="77777777" w:rsidR="007649A2" w:rsidRDefault="007649A2" w:rsidP="000E4383">
      <w:pPr>
        <w:ind w:left="360"/>
        <w:rPr>
          <w:bCs/>
        </w:rPr>
      </w:pPr>
    </w:p>
    <w:p w14:paraId="68427203" w14:textId="3170B244" w:rsidR="00871BC4" w:rsidRPr="00220876" w:rsidRDefault="00190A51" w:rsidP="007649A2">
      <w:pPr>
        <w:pStyle w:val="Heading1"/>
        <w:numPr>
          <w:ilvl w:val="0"/>
          <w:numId w:val="28"/>
        </w:numPr>
        <w:spacing w:before="0" w:after="160" w:line="259" w:lineRule="auto"/>
        <w:ind w:left="360"/>
      </w:pPr>
      <w:r w:rsidRPr="00220876">
        <w:t xml:space="preserve">Future </w:t>
      </w:r>
      <w:r w:rsidR="00220876" w:rsidRPr="00220876">
        <w:t>Scholarship Plans</w:t>
      </w:r>
    </w:p>
    <w:p w14:paraId="5F89DF66" w14:textId="77777777" w:rsidR="001D58EB" w:rsidRDefault="00EE7C7E" w:rsidP="001D58EB">
      <w:pPr>
        <w:ind w:left="360"/>
        <w:rPr>
          <w:i/>
        </w:rPr>
      </w:pPr>
      <w:r w:rsidRPr="003F4D85">
        <w:rPr>
          <w:i/>
        </w:rPr>
        <w:t>Describe any planned or actual papers, presentations, publications, or other professional activities that you expect to produce that reflect your work on this project.</w:t>
      </w:r>
    </w:p>
    <w:p w14:paraId="4F1FDAAE" w14:textId="77777777" w:rsidR="007649A2" w:rsidRDefault="007649A2" w:rsidP="001D58EB">
      <w:pPr>
        <w:ind w:left="360"/>
        <w:rPr>
          <w:iCs/>
          <w:highlight w:val="yellow"/>
        </w:rPr>
      </w:pPr>
    </w:p>
    <w:p w14:paraId="5F00C0DA" w14:textId="6D862AAB" w:rsidR="001D58EB" w:rsidRPr="001D58EB" w:rsidRDefault="001D58EB" w:rsidP="000E4383">
      <w:pPr>
        <w:rPr>
          <w:rFonts w:asciiTheme="minorHAnsi" w:eastAsiaTheme="minorHAnsi" w:hAnsiTheme="minorHAnsi" w:cstheme="minorBidi"/>
          <w:i/>
        </w:rPr>
      </w:pPr>
      <w:r w:rsidRPr="002D12F3">
        <w:rPr>
          <w:iCs/>
        </w:rPr>
        <w:t>Th</w:t>
      </w:r>
      <w:r w:rsidRPr="001D58EB">
        <w:rPr>
          <w:rFonts w:eastAsiaTheme="minorHAnsi"/>
          <w:iCs/>
        </w:rPr>
        <w:t>e findings from this project contribute significantly to the body of knowledge on Construction Education.</w:t>
      </w:r>
    </w:p>
    <w:p w14:paraId="3AF35119" w14:textId="56BEAAEA" w:rsidR="001D58EB" w:rsidRPr="001D58EB" w:rsidRDefault="001D58EB" w:rsidP="0029247C">
      <w:pPr>
        <w:pStyle w:val="Heading1"/>
        <w:spacing w:line="259" w:lineRule="auto"/>
        <w:rPr>
          <w:rFonts w:ascii="Times New Roman" w:eastAsiaTheme="minorHAnsi" w:hAnsi="Times New Roman" w:cs="Times New Roman"/>
          <w:iCs/>
          <w:color w:val="auto"/>
          <w:sz w:val="24"/>
          <w:szCs w:val="24"/>
        </w:rPr>
      </w:pPr>
      <w:r w:rsidRPr="001D58EB">
        <w:rPr>
          <w:rFonts w:ascii="Times New Roman" w:eastAsiaTheme="minorHAnsi" w:hAnsi="Times New Roman" w:cs="Times New Roman"/>
          <w:iCs/>
          <w:color w:val="auto"/>
          <w:sz w:val="24"/>
          <w:szCs w:val="24"/>
        </w:rPr>
        <w:t xml:space="preserve">OER Repository: </w:t>
      </w:r>
      <w:r w:rsidR="003A7135" w:rsidRPr="002D12F3">
        <w:rPr>
          <w:rFonts w:ascii="Times New Roman" w:eastAsiaTheme="minorHAnsi" w:hAnsi="Times New Roman" w:cs="Times New Roman"/>
          <w:iCs/>
          <w:color w:val="auto"/>
          <w:sz w:val="24"/>
          <w:szCs w:val="24"/>
        </w:rPr>
        <w:t xml:space="preserve">All the OER content is hosted on the faculty, Dr. Juneja's, webpage with the link shared globally via the ALG interface. This centralized hosting ensures </w:t>
      </w:r>
      <w:r w:rsidR="002D12F3" w:rsidRPr="002D12F3">
        <w:rPr>
          <w:rFonts w:ascii="Times New Roman" w:eastAsiaTheme="minorHAnsi" w:hAnsi="Times New Roman" w:cs="Times New Roman"/>
          <w:iCs/>
          <w:color w:val="auto"/>
          <w:sz w:val="24"/>
          <w:szCs w:val="24"/>
        </w:rPr>
        <w:t>open accessibility</w:t>
      </w:r>
      <w:r w:rsidR="00C32E31" w:rsidRPr="002D12F3">
        <w:rPr>
          <w:rFonts w:ascii="Times New Roman" w:eastAsiaTheme="minorHAnsi" w:hAnsi="Times New Roman" w:cs="Times New Roman"/>
          <w:iCs/>
          <w:color w:val="auto"/>
          <w:sz w:val="24"/>
          <w:szCs w:val="24"/>
        </w:rPr>
        <w:t>.</w:t>
      </w:r>
    </w:p>
    <w:p w14:paraId="3949CEE9" w14:textId="22EFB610" w:rsidR="001D58EB" w:rsidRDefault="001D58EB" w:rsidP="00C32E31">
      <w:pPr>
        <w:pStyle w:val="Heading1"/>
        <w:rPr>
          <w:rFonts w:ascii="Times New Roman" w:eastAsiaTheme="minorHAnsi" w:hAnsi="Times New Roman" w:cs="Times New Roman"/>
          <w:iCs/>
          <w:color w:val="auto"/>
          <w:sz w:val="24"/>
          <w:szCs w:val="24"/>
        </w:rPr>
      </w:pPr>
      <w:r w:rsidRPr="002D12F3">
        <w:rPr>
          <w:rFonts w:ascii="Times New Roman" w:eastAsiaTheme="minorHAnsi" w:hAnsi="Times New Roman" w:cs="Times New Roman"/>
          <w:iCs/>
          <w:color w:val="auto"/>
          <w:sz w:val="24"/>
          <w:szCs w:val="24"/>
        </w:rPr>
        <w:t xml:space="preserve">Scholarship: The team plans to submit a manuscript to the International Journal of Construction Education and Research, focusing on "Gamification </w:t>
      </w:r>
      <w:r w:rsidR="0059570E" w:rsidRPr="002D12F3">
        <w:rPr>
          <w:rFonts w:ascii="Times New Roman" w:eastAsiaTheme="minorHAnsi" w:hAnsi="Times New Roman" w:cs="Times New Roman"/>
          <w:iCs/>
          <w:color w:val="auto"/>
          <w:sz w:val="24"/>
          <w:szCs w:val="24"/>
        </w:rPr>
        <w:t xml:space="preserve">for </w:t>
      </w:r>
      <w:r w:rsidR="00B60321" w:rsidRPr="002D12F3">
        <w:rPr>
          <w:rFonts w:ascii="Times New Roman" w:eastAsiaTheme="minorHAnsi" w:hAnsi="Times New Roman" w:cs="Times New Roman"/>
          <w:iCs/>
          <w:color w:val="auto"/>
          <w:sz w:val="24"/>
          <w:szCs w:val="24"/>
        </w:rPr>
        <w:t>engagement” and “</w:t>
      </w:r>
      <w:r w:rsidRPr="002D12F3">
        <w:rPr>
          <w:rFonts w:ascii="Times New Roman" w:eastAsiaTheme="minorHAnsi" w:hAnsi="Times New Roman" w:cs="Times New Roman"/>
          <w:iCs/>
          <w:color w:val="auto"/>
          <w:sz w:val="24"/>
          <w:szCs w:val="24"/>
        </w:rPr>
        <w:t xml:space="preserve">Reducing DFW Rates through OER," leveraging the strong quantitative data </w:t>
      </w:r>
      <w:r w:rsidR="00B60321" w:rsidRPr="002D12F3">
        <w:rPr>
          <w:rFonts w:ascii="Times New Roman" w:eastAsiaTheme="minorHAnsi" w:hAnsi="Times New Roman" w:cs="Times New Roman"/>
          <w:iCs/>
          <w:color w:val="auto"/>
          <w:sz w:val="24"/>
          <w:szCs w:val="24"/>
        </w:rPr>
        <w:t>collected during this project.</w:t>
      </w:r>
      <w:r w:rsidR="00B60321">
        <w:rPr>
          <w:rFonts w:ascii="Times New Roman" w:eastAsiaTheme="minorHAnsi" w:hAnsi="Times New Roman" w:cs="Times New Roman"/>
          <w:iCs/>
          <w:color w:val="auto"/>
          <w:sz w:val="24"/>
          <w:szCs w:val="24"/>
        </w:rPr>
        <w:t xml:space="preserve"> </w:t>
      </w:r>
    </w:p>
    <w:p w14:paraId="529F28EE" w14:textId="77777777" w:rsidR="008056A8" w:rsidRDefault="008056A8" w:rsidP="008056A8"/>
    <w:p w14:paraId="6AA8AB49" w14:textId="77777777" w:rsidR="008056A8" w:rsidRDefault="008056A8" w:rsidP="008056A8"/>
    <w:p w14:paraId="452EB01D" w14:textId="77777777" w:rsidR="00D346E4" w:rsidRDefault="00D346E4" w:rsidP="008056A8"/>
    <w:p w14:paraId="3AAF13AA" w14:textId="08BC4258" w:rsidR="00CB083C" w:rsidRPr="004F2656" w:rsidRDefault="00CB083C" w:rsidP="009C1D0A">
      <w:pPr>
        <w:pStyle w:val="Heading1"/>
        <w:numPr>
          <w:ilvl w:val="0"/>
          <w:numId w:val="28"/>
        </w:numPr>
        <w:ind w:left="360"/>
      </w:pPr>
      <w:r w:rsidRPr="004F2656">
        <w:t>Description of Photograph</w:t>
      </w:r>
      <w:r w:rsidR="00871BC4">
        <w:t xml:space="preserve"> (optional) </w:t>
      </w:r>
    </w:p>
    <w:p w14:paraId="49D26D57" w14:textId="41C7E185" w:rsidR="00CB083C" w:rsidRDefault="00871BC4" w:rsidP="003F4D85">
      <w:pPr>
        <w:ind w:left="360"/>
        <w:rPr>
          <w:i/>
        </w:rPr>
      </w:pPr>
      <w:r w:rsidRPr="003F4D85">
        <w:rPr>
          <w:i/>
        </w:rPr>
        <w:t>This is where a team can li</w:t>
      </w:r>
      <w:r w:rsidR="00CB083C" w:rsidRPr="003F4D85">
        <w:rPr>
          <w:i/>
        </w:rPr>
        <w:t>st the names of the people</w:t>
      </w:r>
      <w:r w:rsidR="0033401E" w:rsidRPr="003F4D85">
        <w:rPr>
          <w:i/>
        </w:rPr>
        <w:t xml:space="preserve"> shown</w:t>
      </w:r>
      <w:r w:rsidR="00630263" w:rsidRPr="003F4D85">
        <w:rPr>
          <w:i/>
        </w:rPr>
        <w:t xml:space="preserve"> in this</w:t>
      </w:r>
      <w:r w:rsidR="00CB083C" w:rsidRPr="003F4D85">
        <w:rPr>
          <w:i/>
        </w:rPr>
        <w:t xml:space="preserve"> separately uploaded photograph</w:t>
      </w:r>
      <w:r w:rsidR="00630263" w:rsidRPr="003F4D85">
        <w:rPr>
          <w:i/>
        </w:rPr>
        <w:t>, along with</w:t>
      </w:r>
      <w:r w:rsidR="00CB083C" w:rsidRPr="003F4D85">
        <w:rPr>
          <w:i/>
        </w:rPr>
        <w:t xml:space="preserve"> their roles</w:t>
      </w:r>
      <w:r w:rsidRPr="003F4D85">
        <w:rPr>
          <w:i/>
        </w:rPr>
        <w:t>, if applicable</w:t>
      </w:r>
      <w:r w:rsidR="00CB083C" w:rsidRPr="003F4D85">
        <w:rPr>
          <w:i/>
        </w:rPr>
        <w:t xml:space="preserve">. </w:t>
      </w:r>
    </w:p>
    <w:p w14:paraId="237F9D17" w14:textId="77777777" w:rsidR="008056A8" w:rsidRDefault="008056A8" w:rsidP="003F4D85">
      <w:pPr>
        <w:ind w:left="360"/>
        <w:rPr>
          <w:i/>
        </w:rPr>
      </w:pPr>
    </w:p>
    <w:p w14:paraId="0EEE2FB1" w14:textId="77777777" w:rsidR="008056A8" w:rsidRDefault="008056A8" w:rsidP="003F4D85">
      <w:pPr>
        <w:ind w:left="360"/>
        <w:rPr>
          <w:i/>
        </w:rPr>
      </w:pPr>
    </w:p>
    <w:p w14:paraId="4D1F5729" w14:textId="77777777" w:rsidR="002D12F3" w:rsidRDefault="002D12F3" w:rsidP="003F4D85">
      <w:pPr>
        <w:ind w:left="360"/>
        <w:rPr>
          <w:i/>
        </w:rPr>
      </w:pPr>
    </w:p>
    <w:p w14:paraId="75BC44F8" w14:textId="77777777" w:rsidR="002F130B" w:rsidRDefault="002F130B" w:rsidP="003F4D85">
      <w:pPr>
        <w:ind w:left="360"/>
        <w:rPr>
          <w:i/>
        </w:rPr>
      </w:pPr>
    </w:p>
    <w:p w14:paraId="18E3918F" w14:textId="458741B9" w:rsidR="002F130B" w:rsidRDefault="002F130B" w:rsidP="00DC7653">
      <w:pPr>
        <w:ind w:left="360"/>
        <w:jc w:val="center"/>
        <w:rPr>
          <w:i/>
        </w:rPr>
      </w:pPr>
      <w:r>
        <w:rPr>
          <w:i/>
          <w:noProof/>
        </w:rPr>
        <w:lastRenderedPageBreak/>
        <w:drawing>
          <wp:inline distT="0" distB="0" distL="0" distR="0" wp14:anchorId="70F1343D" wp14:editId="54A2F72A">
            <wp:extent cx="1993692" cy="2606482"/>
            <wp:effectExtent l="0" t="0" r="635" b="0"/>
            <wp:docPr id="1605080004" name="Picture 1" descr="A person in a black jack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080004" name="Picture 1" descr="A person in a black jacket&#10;&#10;AI-generated content may be incorrect."/>
                    <pic:cNvPicPr/>
                  </pic:nvPicPr>
                  <pic:blipFill rotWithShape="1">
                    <a:blip r:embed="rId12"/>
                    <a:srcRect l="24828" r="24780"/>
                    <a:stretch>
                      <a:fillRect/>
                    </a:stretch>
                  </pic:blipFill>
                  <pic:spPr bwMode="auto">
                    <a:xfrm>
                      <a:off x="0" y="0"/>
                      <a:ext cx="2084616" cy="2725353"/>
                    </a:xfrm>
                    <a:prstGeom prst="rect">
                      <a:avLst/>
                    </a:prstGeom>
                    <a:ln>
                      <a:noFill/>
                    </a:ln>
                    <a:extLst>
                      <a:ext uri="{53640926-AAD7-44D8-BBD7-CCE9431645EC}">
                        <a14:shadowObscured xmlns:a14="http://schemas.microsoft.com/office/drawing/2010/main"/>
                      </a:ext>
                    </a:extLst>
                  </pic:spPr>
                </pic:pic>
              </a:graphicData>
            </a:graphic>
          </wp:inline>
        </w:drawing>
      </w:r>
    </w:p>
    <w:p w14:paraId="58577554" w14:textId="77777777" w:rsidR="008056A8" w:rsidRDefault="008056A8" w:rsidP="00DC7653">
      <w:pPr>
        <w:ind w:left="360"/>
        <w:jc w:val="center"/>
        <w:rPr>
          <w:i/>
        </w:rPr>
      </w:pPr>
    </w:p>
    <w:p w14:paraId="72C7A472" w14:textId="77777777" w:rsidR="008056A8" w:rsidRDefault="008056A8" w:rsidP="00DC7653">
      <w:pPr>
        <w:ind w:left="360"/>
        <w:jc w:val="center"/>
        <w:rPr>
          <w:i/>
        </w:rPr>
      </w:pPr>
    </w:p>
    <w:p w14:paraId="78D06667" w14:textId="46AB761F" w:rsidR="00DC7653" w:rsidRDefault="00DC7653" w:rsidP="00DC7653">
      <w:pPr>
        <w:ind w:left="360"/>
        <w:jc w:val="center"/>
        <w:rPr>
          <w:i/>
        </w:rPr>
      </w:pPr>
      <w:r>
        <w:rPr>
          <w:i/>
        </w:rPr>
        <w:t>Dr. Parminder Juneja</w:t>
      </w:r>
      <w:r w:rsidR="00607E79">
        <w:rPr>
          <w:i/>
        </w:rPr>
        <w:t xml:space="preserve"> (Principal </w:t>
      </w:r>
      <w:r w:rsidR="008056A8">
        <w:rPr>
          <w:i/>
        </w:rPr>
        <w:t>Investigator</w:t>
      </w:r>
      <w:r w:rsidR="00607E79">
        <w:rPr>
          <w:i/>
        </w:rPr>
        <w:t>)</w:t>
      </w:r>
    </w:p>
    <w:p w14:paraId="3886F469" w14:textId="52D8DA59" w:rsidR="00DC7653" w:rsidRDefault="00DC7653" w:rsidP="00DC7653">
      <w:pPr>
        <w:ind w:left="360"/>
        <w:jc w:val="center"/>
        <w:rPr>
          <w:i/>
        </w:rPr>
      </w:pPr>
      <w:r>
        <w:rPr>
          <w:i/>
        </w:rPr>
        <w:t>Professor Construction Management Department</w:t>
      </w:r>
    </w:p>
    <w:p w14:paraId="2164E9BD" w14:textId="40DAEEA4" w:rsidR="00DC7653" w:rsidRDefault="00DC7653" w:rsidP="00DC7653">
      <w:pPr>
        <w:ind w:left="360"/>
        <w:jc w:val="center"/>
        <w:rPr>
          <w:i/>
        </w:rPr>
      </w:pPr>
      <w:r>
        <w:rPr>
          <w:i/>
        </w:rPr>
        <w:t xml:space="preserve">College </w:t>
      </w:r>
      <w:r w:rsidR="00607E79">
        <w:rPr>
          <w:i/>
        </w:rPr>
        <w:t>of Architecture and Construction Management</w:t>
      </w:r>
    </w:p>
    <w:p w14:paraId="2A43738C" w14:textId="698CF65D" w:rsidR="00607E79" w:rsidRDefault="00607E79" w:rsidP="00DC7653">
      <w:pPr>
        <w:ind w:left="360"/>
        <w:jc w:val="center"/>
        <w:rPr>
          <w:i/>
        </w:rPr>
      </w:pPr>
      <w:r>
        <w:rPr>
          <w:i/>
        </w:rPr>
        <w:t>Kennesaw State University</w:t>
      </w:r>
    </w:p>
    <w:p w14:paraId="66037C99" w14:textId="77777777" w:rsidR="00D346E4" w:rsidRDefault="00D346E4" w:rsidP="00DC7653">
      <w:pPr>
        <w:ind w:left="360"/>
        <w:jc w:val="center"/>
        <w:rPr>
          <w:i/>
        </w:rPr>
      </w:pPr>
    </w:p>
    <w:p w14:paraId="78DE8390" w14:textId="77777777" w:rsidR="008056A8" w:rsidRDefault="008056A8" w:rsidP="00DC7653">
      <w:pPr>
        <w:ind w:left="360"/>
        <w:jc w:val="center"/>
        <w:rPr>
          <w:i/>
        </w:rPr>
      </w:pPr>
    </w:p>
    <w:p w14:paraId="7F90811A" w14:textId="6F05C917" w:rsidR="008056A8" w:rsidRDefault="008056A8" w:rsidP="00DC7653">
      <w:pPr>
        <w:ind w:left="360"/>
        <w:jc w:val="center"/>
        <w:rPr>
          <w:i/>
        </w:rPr>
      </w:pPr>
      <w:r>
        <w:fldChar w:fldCharType="begin"/>
      </w:r>
      <w:r>
        <w:instrText xml:space="preserve"> INCLUDEPICTURE "https://facultyweb.kennesaw.edu/pmeadati/images/Pavan%20Meadati%20on%20Homepage1.jpg" \* MERGEFORMATINET </w:instrText>
      </w:r>
      <w:r>
        <w:fldChar w:fldCharType="separate"/>
      </w:r>
      <w:r>
        <w:rPr>
          <w:noProof/>
        </w:rPr>
        <w:drawing>
          <wp:inline distT="0" distB="0" distL="0" distR="0" wp14:anchorId="58BAF353" wp14:editId="16DF81A7">
            <wp:extent cx="2046158" cy="2307831"/>
            <wp:effectExtent l="0" t="0" r="0" b="3810"/>
            <wp:docPr id="2042588778" name="Picture 2" descr="Pav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va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65220" cy="2329330"/>
                    </a:xfrm>
                    <a:prstGeom prst="rect">
                      <a:avLst/>
                    </a:prstGeom>
                    <a:noFill/>
                    <a:ln>
                      <a:noFill/>
                    </a:ln>
                  </pic:spPr>
                </pic:pic>
              </a:graphicData>
            </a:graphic>
          </wp:inline>
        </w:drawing>
      </w:r>
      <w:r>
        <w:fldChar w:fldCharType="end"/>
      </w:r>
    </w:p>
    <w:p w14:paraId="7A66B46E" w14:textId="77777777" w:rsidR="00D346E4" w:rsidRDefault="00D346E4" w:rsidP="008056A8">
      <w:pPr>
        <w:ind w:left="360"/>
        <w:jc w:val="center"/>
        <w:rPr>
          <w:i/>
        </w:rPr>
      </w:pPr>
    </w:p>
    <w:p w14:paraId="00F826E2" w14:textId="2ECFF13E" w:rsidR="008056A8" w:rsidRDefault="008056A8" w:rsidP="008056A8">
      <w:pPr>
        <w:ind w:left="360"/>
        <w:jc w:val="center"/>
        <w:rPr>
          <w:i/>
        </w:rPr>
      </w:pPr>
      <w:r>
        <w:rPr>
          <w:i/>
        </w:rPr>
        <w:t>Dr. Pavan Meadati (Co-Principal Investigator)</w:t>
      </w:r>
    </w:p>
    <w:p w14:paraId="4AF866FF" w14:textId="77777777" w:rsidR="008056A8" w:rsidRDefault="008056A8" w:rsidP="008056A8">
      <w:pPr>
        <w:ind w:left="360"/>
        <w:jc w:val="center"/>
        <w:rPr>
          <w:i/>
        </w:rPr>
      </w:pPr>
      <w:r>
        <w:rPr>
          <w:i/>
        </w:rPr>
        <w:t>Professor Construction Management Department</w:t>
      </w:r>
    </w:p>
    <w:p w14:paraId="369415A3" w14:textId="77777777" w:rsidR="008056A8" w:rsidRDefault="008056A8" w:rsidP="008056A8">
      <w:pPr>
        <w:ind w:left="360"/>
        <w:jc w:val="center"/>
        <w:rPr>
          <w:i/>
        </w:rPr>
      </w:pPr>
      <w:r>
        <w:rPr>
          <w:i/>
        </w:rPr>
        <w:t>College of Architecture and Construction Management</w:t>
      </w:r>
    </w:p>
    <w:p w14:paraId="1A842CEE" w14:textId="6A0EDAB7" w:rsidR="00607E79" w:rsidRDefault="008056A8" w:rsidP="008056A8">
      <w:pPr>
        <w:ind w:left="360"/>
        <w:jc w:val="center"/>
        <w:rPr>
          <w:i/>
        </w:rPr>
      </w:pPr>
      <w:r>
        <w:rPr>
          <w:i/>
        </w:rPr>
        <w:t>Kennesaw State University</w:t>
      </w:r>
    </w:p>
    <w:p w14:paraId="6420BA5E" w14:textId="77777777" w:rsidR="00607E79" w:rsidRDefault="00607E79" w:rsidP="00DC7653">
      <w:pPr>
        <w:ind w:left="360"/>
        <w:jc w:val="center"/>
        <w:rPr>
          <w:i/>
        </w:rPr>
      </w:pPr>
    </w:p>
    <w:sectPr w:rsidR="00607E79" w:rsidSect="000E4383">
      <w:footerReference w:type="even" r:id="rId14"/>
      <w:footerReference w:type="default" r:id="rId15"/>
      <w:pgSz w:w="12240" w:h="15840"/>
      <w:pgMar w:top="1440" w:right="1440" w:bottom="1440" w:left="144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E2FA7" w14:textId="77777777" w:rsidR="00086EA0" w:rsidRDefault="00086EA0" w:rsidP="000E4383">
      <w:r>
        <w:separator/>
      </w:r>
    </w:p>
  </w:endnote>
  <w:endnote w:type="continuationSeparator" w:id="0">
    <w:p w14:paraId="3159E801" w14:textId="77777777" w:rsidR="00086EA0" w:rsidRDefault="00086EA0" w:rsidP="000E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oogle Sans Text">
    <w:charset w:val="00"/>
    <w:family w:val="auto"/>
    <w:pitch w:val="default"/>
  </w:font>
  <w:font w:name="Google Sans">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06358760"/>
      <w:docPartObj>
        <w:docPartGallery w:val="Page Numbers (Bottom of Page)"/>
        <w:docPartUnique/>
      </w:docPartObj>
    </w:sdtPr>
    <w:sdtContent>
      <w:p w14:paraId="79AF8637" w14:textId="300BE34C" w:rsidR="000E4383" w:rsidRDefault="000E4383" w:rsidP="00455D2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08ECACAB" w14:textId="77777777" w:rsidR="000E4383" w:rsidRDefault="000E43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4528084"/>
      <w:docPartObj>
        <w:docPartGallery w:val="Page Numbers (Bottom of Page)"/>
        <w:docPartUnique/>
      </w:docPartObj>
    </w:sdtPr>
    <w:sdtContent>
      <w:p w14:paraId="2B4341AC" w14:textId="4A64C737" w:rsidR="000E4383" w:rsidRDefault="000E4383" w:rsidP="00455D2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- 1 -</w:t>
        </w:r>
        <w:r>
          <w:rPr>
            <w:rStyle w:val="PageNumber"/>
          </w:rPr>
          <w:fldChar w:fldCharType="end"/>
        </w:r>
      </w:p>
    </w:sdtContent>
  </w:sdt>
  <w:p w14:paraId="3A5BE4CE" w14:textId="77777777" w:rsidR="000E4383" w:rsidRDefault="000E43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72975" w14:textId="77777777" w:rsidR="00086EA0" w:rsidRDefault="00086EA0" w:rsidP="000E4383">
      <w:r>
        <w:separator/>
      </w:r>
    </w:p>
  </w:footnote>
  <w:footnote w:type="continuationSeparator" w:id="0">
    <w:p w14:paraId="5591EBAE" w14:textId="77777777" w:rsidR="00086EA0" w:rsidRDefault="00086EA0" w:rsidP="000E4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DA19F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2D002A"/>
    <w:multiLevelType w:val="multilevel"/>
    <w:tmpl w:val="FA961914"/>
    <w:lvl w:ilvl="0">
      <w:start w:val="1"/>
      <w:numFmt w:val="decimal"/>
      <w:lvlText w:val="%1."/>
      <w:lvlJc w:val="left"/>
      <w:pPr>
        <w:ind w:left="4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885"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2" w15:restartNumberingAfterBreak="0">
    <w:nsid w:val="0BCF3741"/>
    <w:multiLevelType w:val="multilevel"/>
    <w:tmpl w:val="E6BAF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7A4319"/>
    <w:multiLevelType w:val="multilevel"/>
    <w:tmpl w:val="B9AC9E16"/>
    <w:lvl w:ilvl="0">
      <w:start w:val="1"/>
      <w:numFmt w:val="bullet"/>
      <w:lvlText w:val="●"/>
      <w:lvlJc w:val="left"/>
      <w:pPr>
        <w:ind w:left="465"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4" w15:restartNumberingAfterBreak="0">
    <w:nsid w:val="143E40ED"/>
    <w:multiLevelType w:val="multilevel"/>
    <w:tmpl w:val="072A13EE"/>
    <w:lvl w:ilvl="0">
      <w:start w:val="1"/>
      <w:numFmt w:val="bullet"/>
      <w:lvlText w:val="●"/>
      <w:lvlJc w:val="left"/>
      <w:pPr>
        <w:ind w:left="465"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A07E24"/>
    <w:multiLevelType w:val="multilevel"/>
    <w:tmpl w:val="E7D69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AC65CA"/>
    <w:multiLevelType w:val="multilevel"/>
    <w:tmpl w:val="75D4A33E"/>
    <w:lvl w:ilvl="0">
      <w:start w:val="1"/>
      <w:numFmt w:val="bullet"/>
      <w:lvlText w:val="●"/>
      <w:lvlJc w:val="left"/>
      <w:pPr>
        <w:ind w:left="465"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8" w15:restartNumberingAfterBreak="0">
    <w:nsid w:val="1BBF266C"/>
    <w:multiLevelType w:val="multilevel"/>
    <w:tmpl w:val="82A09A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DE4485"/>
    <w:multiLevelType w:val="multilevel"/>
    <w:tmpl w:val="A4302D0E"/>
    <w:lvl w:ilvl="0">
      <w:start w:val="1"/>
      <w:numFmt w:val="decimal"/>
      <w:lvlText w:val="%1."/>
      <w:lvlJc w:val="left"/>
      <w:pPr>
        <w:ind w:left="4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885"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10" w15:restartNumberingAfterBreak="0">
    <w:nsid w:val="25F441A5"/>
    <w:multiLevelType w:val="hybridMultilevel"/>
    <w:tmpl w:val="F702A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7868E7"/>
    <w:multiLevelType w:val="multilevel"/>
    <w:tmpl w:val="5F60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3A65DE"/>
    <w:multiLevelType w:val="multilevel"/>
    <w:tmpl w:val="73F2A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4031C"/>
    <w:multiLevelType w:val="multilevel"/>
    <w:tmpl w:val="EFA07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036911"/>
    <w:multiLevelType w:val="multilevel"/>
    <w:tmpl w:val="D8E8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0C4432"/>
    <w:multiLevelType w:val="multilevel"/>
    <w:tmpl w:val="C762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D31312"/>
    <w:multiLevelType w:val="multilevel"/>
    <w:tmpl w:val="78DAC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90627"/>
    <w:multiLevelType w:val="multilevel"/>
    <w:tmpl w:val="85DEF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1C590C"/>
    <w:multiLevelType w:val="multilevel"/>
    <w:tmpl w:val="C744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F45380"/>
    <w:multiLevelType w:val="multilevel"/>
    <w:tmpl w:val="51FC8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0474643"/>
    <w:multiLevelType w:val="hybridMultilevel"/>
    <w:tmpl w:val="5AAC07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36161F"/>
    <w:multiLevelType w:val="multilevel"/>
    <w:tmpl w:val="D0643744"/>
    <w:lvl w:ilvl="0">
      <w:start w:val="1"/>
      <w:numFmt w:val="bullet"/>
      <w:lvlText w:val="●"/>
      <w:lvlJc w:val="left"/>
      <w:pPr>
        <w:ind w:left="465"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26" w15:restartNumberingAfterBreak="0">
    <w:nsid w:val="66231AA4"/>
    <w:multiLevelType w:val="multilevel"/>
    <w:tmpl w:val="6B9A5308"/>
    <w:lvl w:ilvl="0">
      <w:start w:val="1"/>
      <w:numFmt w:val="bullet"/>
      <w:lvlText w:val="●"/>
      <w:lvlJc w:val="left"/>
      <w:pPr>
        <w:ind w:left="465"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27" w15:restartNumberingAfterBreak="0">
    <w:nsid w:val="667A3441"/>
    <w:multiLevelType w:val="multilevel"/>
    <w:tmpl w:val="A4CE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77155D"/>
    <w:multiLevelType w:val="multilevel"/>
    <w:tmpl w:val="9BAA62E0"/>
    <w:lvl w:ilvl="0">
      <w:start w:val="3"/>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906A52"/>
    <w:multiLevelType w:val="hybridMultilevel"/>
    <w:tmpl w:val="5122FB08"/>
    <w:lvl w:ilvl="0" w:tplc="04090015">
      <w:start w:val="2"/>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46559C"/>
    <w:multiLevelType w:val="multilevel"/>
    <w:tmpl w:val="3006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40448415">
    <w:abstractNumId w:val="20"/>
  </w:num>
  <w:num w:numId="2" w16cid:durableId="592780153">
    <w:abstractNumId w:val="13"/>
  </w:num>
  <w:num w:numId="3" w16cid:durableId="154301208">
    <w:abstractNumId w:val="17"/>
  </w:num>
  <w:num w:numId="4" w16cid:durableId="275672450">
    <w:abstractNumId w:val="5"/>
  </w:num>
  <w:num w:numId="5" w16cid:durableId="678193627">
    <w:abstractNumId w:val="30"/>
  </w:num>
  <w:num w:numId="6" w16cid:durableId="1794251462">
    <w:abstractNumId w:val="14"/>
  </w:num>
  <w:num w:numId="7" w16cid:durableId="166100122">
    <w:abstractNumId w:val="31"/>
  </w:num>
  <w:num w:numId="8" w16cid:durableId="943534483">
    <w:abstractNumId w:val="15"/>
  </w:num>
  <w:num w:numId="9" w16cid:durableId="1784110992">
    <w:abstractNumId w:val="27"/>
  </w:num>
  <w:num w:numId="10" w16cid:durableId="1264680452">
    <w:abstractNumId w:val="4"/>
  </w:num>
  <w:num w:numId="11" w16cid:durableId="1293755646">
    <w:abstractNumId w:val="26"/>
  </w:num>
  <w:num w:numId="12" w16cid:durableId="329064996">
    <w:abstractNumId w:val="1"/>
  </w:num>
  <w:num w:numId="13" w16cid:durableId="1694304621">
    <w:abstractNumId w:val="9"/>
  </w:num>
  <w:num w:numId="14" w16cid:durableId="448163840">
    <w:abstractNumId w:val="3"/>
  </w:num>
  <w:num w:numId="15" w16cid:durableId="706762997">
    <w:abstractNumId w:val="25"/>
  </w:num>
  <w:num w:numId="16" w16cid:durableId="1412121599">
    <w:abstractNumId w:val="7"/>
  </w:num>
  <w:num w:numId="17" w16cid:durableId="776220615">
    <w:abstractNumId w:val="24"/>
  </w:num>
  <w:num w:numId="18" w16cid:durableId="1510367176">
    <w:abstractNumId w:val="0"/>
  </w:num>
  <w:num w:numId="19" w16cid:durableId="697127048">
    <w:abstractNumId w:val="21"/>
  </w:num>
  <w:num w:numId="20" w16cid:durableId="1847553331">
    <w:abstractNumId w:val="16"/>
  </w:num>
  <w:num w:numId="21" w16cid:durableId="1635912295">
    <w:abstractNumId w:val="8"/>
  </w:num>
  <w:num w:numId="22" w16cid:durableId="1052193902">
    <w:abstractNumId w:val="18"/>
  </w:num>
  <w:num w:numId="23" w16cid:durableId="620302194">
    <w:abstractNumId w:val="6"/>
  </w:num>
  <w:num w:numId="24" w16cid:durableId="784732963">
    <w:abstractNumId w:val="12"/>
  </w:num>
  <w:num w:numId="25" w16cid:durableId="819032674">
    <w:abstractNumId w:val="19"/>
  </w:num>
  <w:num w:numId="26" w16cid:durableId="1926067234">
    <w:abstractNumId w:val="22"/>
  </w:num>
  <w:num w:numId="27" w16cid:durableId="2027439344">
    <w:abstractNumId w:val="10"/>
  </w:num>
  <w:num w:numId="28" w16cid:durableId="1435318553">
    <w:abstractNumId w:val="29"/>
  </w:num>
  <w:num w:numId="29" w16cid:durableId="1909539172">
    <w:abstractNumId w:val="11"/>
  </w:num>
  <w:num w:numId="30" w16cid:durableId="98643939">
    <w:abstractNumId w:val="32"/>
  </w:num>
  <w:num w:numId="31" w16cid:durableId="1129205877">
    <w:abstractNumId w:val="2"/>
  </w:num>
  <w:num w:numId="32" w16cid:durableId="952857564">
    <w:abstractNumId w:val="23"/>
  </w:num>
  <w:num w:numId="33" w16cid:durableId="1155990903">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22B69"/>
    <w:rsid w:val="0002622B"/>
    <w:rsid w:val="00044DF3"/>
    <w:rsid w:val="000467B0"/>
    <w:rsid w:val="000554E9"/>
    <w:rsid w:val="0005585D"/>
    <w:rsid w:val="00056BF2"/>
    <w:rsid w:val="00071B22"/>
    <w:rsid w:val="00075E05"/>
    <w:rsid w:val="000815DC"/>
    <w:rsid w:val="00082546"/>
    <w:rsid w:val="00084A38"/>
    <w:rsid w:val="00086EA0"/>
    <w:rsid w:val="000A46F8"/>
    <w:rsid w:val="000B0043"/>
    <w:rsid w:val="000B092D"/>
    <w:rsid w:val="000B0E0C"/>
    <w:rsid w:val="000C3FED"/>
    <w:rsid w:val="000D0071"/>
    <w:rsid w:val="000D092D"/>
    <w:rsid w:val="000E4383"/>
    <w:rsid w:val="000E5A36"/>
    <w:rsid w:val="000E7A90"/>
    <w:rsid w:val="00101A24"/>
    <w:rsid w:val="001026AF"/>
    <w:rsid w:val="001154F9"/>
    <w:rsid w:val="001208E5"/>
    <w:rsid w:val="00130B5C"/>
    <w:rsid w:val="00131E21"/>
    <w:rsid w:val="0014508E"/>
    <w:rsid w:val="00145AC4"/>
    <w:rsid w:val="00151DDD"/>
    <w:rsid w:val="0015359D"/>
    <w:rsid w:val="001722EC"/>
    <w:rsid w:val="00174EF2"/>
    <w:rsid w:val="00190A51"/>
    <w:rsid w:val="00197EDE"/>
    <w:rsid w:val="001A218C"/>
    <w:rsid w:val="001A2EE3"/>
    <w:rsid w:val="001A459A"/>
    <w:rsid w:val="001A7525"/>
    <w:rsid w:val="001B2107"/>
    <w:rsid w:val="001B54BB"/>
    <w:rsid w:val="001B610E"/>
    <w:rsid w:val="001D51FD"/>
    <w:rsid w:val="001D58EB"/>
    <w:rsid w:val="001D78BD"/>
    <w:rsid w:val="001E0EE3"/>
    <w:rsid w:val="001F4532"/>
    <w:rsid w:val="0020665B"/>
    <w:rsid w:val="00207965"/>
    <w:rsid w:val="00217E8E"/>
    <w:rsid w:val="00220876"/>
    <w:rsid w:val="00220DC4"/>
    <w:rsid w:val="00232700"/>
    <w:rsid w:val="00234313"/>
    <w:rsid w:val="00240544"/>
    <w:rsid w:val="00243E4C"/>
    <w:rsid w:val="00253B14"/>
    <w:rsid w:val="00261A9B"/>
    <w:rsid w:val="00274389"/>
    <w:rsid w:val="00276200"/>
    <w:rsid w:val="00277B0F"/>
    <w:rsid w:val="00285B86"/>
    <w:rsid w:val="0029247C"/>
    <w:rsid w:val="002A458C"/>
    <w:rsid w:val="002A60B3"/>
    <w:rsid w:val="002B7C3D"/>
    <w:rsid w:val="002C444F"/>
    <w:rsid w:val="002D12F3"/>
    <w:rsid w:val="002D5B61"/>
    <w:rsid w:val="002E7C5F"/>
    <w:rsid w:val="002F130B"/>
    <w:rsid w:val="002F22B5"/>
    <w:rsid w:val="00301979"/>
    <w:rsid w:val="003038A8"/>
    <w:rsid w:val="00307194"/>
    <w:rsid w:val="00325BA5"/>
    <w:rsid w:val="003303AD"/>
    <w:rsid w:val="00331579"/>
    <w:rsid w:val="0033401E"/>
    <w:rsid w:val="00336C08"/>
    <w:rsid w:val="00346044"/>
    <w:rsid w:val="00354244"/>
    <w:rsid w:val="00367D00"/>
    <w:rsid w:val="003717C9"/>
    <w:rsid w:val="003749C1"/>
    <w:rsid w:val="003925ED"/>
    <w:rsid w:val="003A209F"/>
    <w:rsid w:val="003A340C"/>
    <w:rsid w:val="003A7135"/>
    <w:rsid w:val="003A7F4C"/>
    <w:rsid w:val="003B3AE6"/>
    <w:rsid w:val="003C0CE6"/>
    <w:rsid w:val="003C1B4D"/>
    <w:rsid w:val="003D0489"/>
    <w:rsid w:val="003D0854"/>
    <w:rsid w:val="003D5CD7"/>
    <w:rsid w:val="003E1BCB"/>
    <w:rsid w:val="003E638F"/>
    <w:rsid w:val="003F4D85"/>
    <w:rsid w:val="00423567"/>
    <w:rsid w:val="00426288"/>
    <w:rsid w:val="00427BAF"/>
    <w:rsid w:val="00430CE0"/>
    <w:rsid w:val="00436134"/>
    <w:rsid w:val="00467FF2"/>
    <w:rsid w:val="00471C68"/>
    <w:rsid w:val="0048459F"/>
    <w:rsid w:val="004B1E6A"/>
    <w:rsid w:val="004B319C"/>
    <w:rsid w:val="004B45ED"/>
    <w:rsid w:val="004B5118"/>
    <w:rsid w:val="004C2184"/>
    <w:rsid w:val="004C4598"/>
    <w:rsid w:val="004E2338"/>
    <w:rsid w:val="004F2656"/>
    <w:rsid w:val="0050609A"/>
    <w:rsid w:val="00517E23"/>
    <w:rsid w:val="00520C67"/>
    <w:rsid w:val="005212A0"/>
    <w:rsid w:val="005261F7"/>
    <w:rsid w:val="00530118"/>
    <w:rsid w:val="00532B08"/>
    <w:rsid w:val="00537C35"/>
    <w:rsid w:val="00547DAC"/>
    <w:rsid w:val="005777F7"/>
    <w:rsid w:val="0059570E"/>
    <w:rsid w:val="005A2CAC"/>
    <w:rsid w:val="005B335C"/>
    <w:rsid w:val="005C11E8"/>
    <w:rsid w:val="005C58C0"/>
    <w:rsid w:val="005D61A5"/>
    <w:rsid w:val="005E5FF6"/>
    <w:rsid w:val="005E6740"/>
    <w:rsid w:val="00606A97"/>
    <w:rsid w:val="00607E79"/>
    <w:rsid w:val="006227E4"/>
    <w:rsid w:val="00630263"/>
    <w:rsid w:val="00644D72"/>
    <w:rsid w:val="00646F8B"/>
    <w:rsid w:val="00647915"/>
    <w:rsid w:val="00662D94"/>
    <w:rsid w:val="00672784"/>
    <w:rsid w:val="00681CF9"/>
    <w:rsid w:val="00684A25"/>
    <w:rsid w:val="00687254"/>
    <w:rsid w:val="00697969"/>
    <w:rsid w:val="006A36A9"/>
    <w:rsid w:val="006C51BE"/>
    <w:rsid w:val="006C5409"/>
    <w:rsid w:val="006D019F"/>
    <w:rsid w:val="006D279F"/>
    <w:rsid w:val="006D5ADC"/>
    <w:rsid w:val="006E0008"/>
    <w:rsid w:val="006E15DF"/>
    <w:rsid w:val="006E185A"/>
    <w:rsid w:val="006E2490"/>
    <w:rsid w:val="006E28E9"/>
    <w:rsid w:val="007010CA"/>
    <w:rsid w:val="007032E4"/>
    <w:rsid w:val="00723177"/>
    <w:rsid w:val="007305FF"/>
    <w:rsid w:val="0073273B"/>
    <w:rsid w:val="007478EE"/>
    <w:rsid w:val="007526B7"/>
    <w:rsid w:val="0076355D"/>
    <w:rsid w:val="007649A2"/>
    <w:rsid w:val="00772C9F"/>
    <w:rsid w:val="00782F33"/>
    <w:rsid w:val="00784ACF"/>
    <w:rsid w:val="00786654"/>
    <w:rsid w:val="007A6040"/>
    <w:rsid w:val="007B11F9"/>
    <w:rsid w:val="007B2B55"/>
    <w:rsid w:val="007C1BD6"/>
    <w:rsid w:val="007D43F7"/>
    <w:rsid w:val="007E45B3"/>
    <w:rsid w:val="007F15B2"/>
    <w:rsid w:val="007F42BA"/>
    <w:rsid w:val="008049B8"/>
    <w:rsid w:val="008056A8"/>
    <w:rsid w:val="00811187"/>
    <w:rsid w:val="00813D1D"/>
    <w:rsid w:val="00820EA3"/>
    <w:rsid w:val="00822CDE"/>
    <w:rsid w:val="008366AE"/>
    <w:rsid w:val="00836CF3"/>
    <w:rsid w:val="00837AE2"/>
    <w:rsid w:val="00847C37"/>
    <w:rsid w:val="00864E33"/>
    <w:rsid w:val="00870621"/>
    <w:rsid w:val="00871BC4"/>
    <w:rsid w:val="00871F3A"/>
    <w:rsid w:val="00873820"/>
    <w:rsid w:val="00887FBA"/>
    <w:rsid w:val="00894D9F"/>
    <w:rsid w:val="008A4B59"/>
    <w:rsid w:val="008A5B6A"/>
    <w:rsid w:val="008B31D1"/>
    <w:rsid w:val="008B4361"/>
    <w:rsid w:val="008B5AE5"/>
    <w:rsid w:val="008C2B0C"/>
    <w:rsid w:val="008D1871"/>
    <w:rsid w:val="008D2938"/>
    <w:rsid w:val="008D44A1"/>
    <w:rsid w:val="008E07D0"/>
    <w:rsid w:val="008E07E3"/>
    <w:rsid w:val="008E5913"/>
    <w:rsid w:val="008F4B15"/>
    <w:rsid w:val="00902713"/>
    <w:rsid w:val="0090303B"/>
    <w:rsid w:val="00912345"/>
    <w:rsid w:val="009130D1"/>
    <w:rsid w:val="009134AD"/>
    <w:rsid w:val="00917838"/>
    <w:rsid w:val="00930367"/>
    <w:rsid w:val="00945780"/>
    <w:rsid w:val="009532F0"/>
    <w:rsid w:val="009626C6"/>
    <w:rsid w:val="0097575D"/>
    <w:rsid w:val="00977C76"/>
    <w:rsid w:val="00982EB5"/>
    <w:rsid w:val="00984E78"/>
    <w:rsid w:val="00987DD6"/>
    <w:rsid w:val="009904E9"/>
    <w:rsid w:val="009B21A1"/>
    <w:rsid w:val="009C1D0A"/>
    <w:rsid w:val="009C36F2"/>
    <w:rsid w:val="009C52DD"/>
    <w:rsid w:val="009C6708"/>
    <w:rsid w:val="009C748E"/>
    <w:rsid w:val="009D7053"/>
    <w:rsid w:val="009D7968"/>
    <w:rsid w:val="009D7FBB"/>
    <w:rsid w:val="00A0062C"/>
    <w:rsid w:val="00A0125D"/>
    <w:rsid w:val="00A03245"/>
    <w:rsid w:val="00A06E45"/>
    <w:rsid w:val="00A2405B"/>
    <w:rsid w:val="00A32AF4"/>
    <w:rsid w:val="00A44C7F"/>
    <w:rsid w:val="00A45190"/>
    <w:rsid w:val="00A56DAB"/>
    <w:rsid w:val="00A70DD2"/>
    <w:rsid w:val="00A74297"/>
    <w:rsid w:val="00A77F21"/>
    <w:rsid w:val="00A94A5F"/>
    <w:rsid w:val="00AB5D29"/>
    <w:rsid w:val="00AC289C"/>
    <w:rsid w:val="00AD1092"/>
    <w:rsid w:val="00AF4890"/>
    <w:rsid w:val="00AF6783"/>
    <w:rsid w:val="00B0038C"/>
    <w:rsid w:val="00B068B7"/>
    <w:rsid w:val="00B0759C"/>
    <w:rsid w:val="00B14B28"/>
    <w:rsid w:val="00B250E9"/>
    <w:rsid w:val="00B252D7"/>
    <w:rsid w:val="00B516BC"/>
    <w:rsid w:val="00B60321"/>
    <w:rsid w:val="00B77348"/>
    <w:rsid w:val="00B77413"/>
    <w:rsid w:val="00B854C7"/>
    <w:rsid w:val="00B90CC8"/>
    <w:rsid w:val="00BA16D9"/>
    <w:rsid w:val="00BD3653"/>
    <w:rsid w:val="00BD653D"/>
    <w:rsid w:val="00BD677B"/>
    <w:rsid w:val="00BE358C"/>
    <w:rsid w:val="00BE597F"/>
    <w:rsid w:val="00BF3C8A"/>
    <w:rsid w:val="00BF4EAC"/>
    <w:rsid w:val="00BF5760"/>
    <w:rsid w:val="00BF7420"/>
    <w:rsid w:val="00C0021D"/>
    <w:rsid w:val="00C13539"/>
    <w:rsid w:val="00C242F9"/>
    <w:rsid w:val="00C259A8"/>
    <w:rsid w:val="00C32E31"/>
    <w:rsid w:val="00C32EC6"/>
    <w:rsid w:val="00C41C27"/>
    <w:rsid w:val="00C45872"/>
    <w:rsid w:val="00C46710"/>
    <w:rsid w:val="00C55311"/>
    <w:rsid w:val="00C61750"/>
    <w:rsid w:val="00C65741"/>
    <w:rsid w:val="00C65F51"/>
    <w:rsid w:val="00C66162"/>
    <w:rsid w:val="00C67155"/>
    <w:rsid w:val="00C70080"/>
    <w:rsid w:val="00C749E5"/>
    <w:rsid w:val="00C807D1"/>
    <w:rsid w:val="00C80819"/>
    <w:rsid w:val="00C839FC"/>
    <w:rsid w:val="00C87162"/>
    <w:rsid w:val="00C9295D"/>
    <w:rsid w:val="00C96A37"/>
    <w:rsid w:val="00C96BCC"/>
    <w:rsid w:val="00CA4AAD"/>
    <w:rsid w:val="00CB083C"/>
    <w:rsid w:val="00CB21B5"/>
    <w:rsid w:val="00CC6475"/>
    <w:rsid w:val="00CD2A6F"/>
    <w:rsid w:val="00CF7B8C"/>
    <w:rsid w:val="00D11976"/>
    <w:rsid w:val="00D16D80"/>
    <w:rsid w:val="00D30DB3"/>
    <w:rsid w:val="00D346E4"/>
    <w:rsid w:val="00D37786"/>
    <w:rsid w:val="00D431E9"/>
    <w:rsid w:val="00D50681"/>
    <w:rsid w:val="00D5385A"/>
    <w:rsid w:val="00D53E64"/>
    <w:rsid w:val="00D54E97"/>
    <w:rsid w:val="00D730F6"/>
    <w:rsid w:val="00D75B94"/>
    <w:rsid w:val="00D9200A"/>
    <w:rsid w:val="00D92E7E"/>
    <w:rsid w:val="00D9716B"/>
    <w:rsid w:val="00D9790A"/>
    <w:rsid w:val="00D97D0B"/>
    <w:rsid w:val="00DC2BFF"/>
    <w:rsid w:val="00DC5347"/>
    <w:rsid w:val="00DC7653"/>
    <w:rsid w:val="00DD3803"/>
    <w:rsid w:val="00DD5245"/>
    <w:rsid w:val="00DD5BD3"/>
    <w:rsid w:val="00DF79E1"/>
    <w:rsid w:val="00E0330D"/>
    <w:rsid w:val="00E167BE"/>
    <w:rsid w:val="00E1772C"/>
    <w:rsid w:val="00E17CFF"/>
    <w:rsid w:val="00E30D72"/>
    <w:rsid w:val="00E34FAA"/>
    <w:rsid w:val="00E354D2"/>
    <w:rsid w:val="00E36DD8"/>
    <w:rsid w:val="00E468E0"/>
    <w:rsid w:val="00E5114B"/>
    <w:rsid w:val="00E55B7E"/>
    <w:rsid w:val="00E6519A"/>
    <w:rsid w:val="00E80ED5"/>
    <w:rsid w:val="00EA0B43"/>
    <w:rsid w:val="00ED5BCB"/>
    <w:rsid w:val="00ED7DA7"/>
    <w:rsid w:val="00EE35AB"/>
    <w:rsid w:val="00EE7C7E"/>
    <w:rsid w:val="00EF0040"/>
    <w:rsid w:val="00EF08C8"/>
    <w:rsid w:val="00F01364"/>
    <w:rsid w:val="00F021D8"/>
    <w:rsid w:val="00F17197"/>
    <w:rsid w:val="00F25F27"/>
    <w:rsid w:val="00F319B6"/>
    <w:rsid w:val="00F32871"/>
    <w:rsid w:val="00F5354D"/>
    <w:rsid w:val="00F55DDB"/>
    <w:rsid w:val="00F60E0E"/>
    <w:rsid w:val="00F633E9"/>
    <w:rsid w:val="00F6782A"/>
    <w:rsid w:val="00F70B70"/>
    <w:rsid w:val="00F908C7"/>
    <w:rsid w:val="00F933BC"/>
    <w:rsid w:val="00F93499"/>
    <w:rsid w:val="00F9480D"/>
    <w:rsid w:val="00FA78A2"/>
    <w:rsid w:val="00FA7C8E"/>
    <w:rsid w:val="00FC01DF"/>
    <w:rsid w:val="00FC5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2B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340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22B69"/>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rmalWeb">
    <w:name w:val="Normal (Web)"/>
    <w:basedOn w:val="Normal"/>
    <w:uiPriority w:val="99"/>
    <w:unhideWhenUsed/>
    <w:rsid w:val="00C61750"/>
    <w:pPr>
      <w:spacing w:before="100" w:beforeAutospacing="1" w:after="100" w:afterAutospacing="1"/>
    </w:pPr>
  </w:style>
  <w:style w:type="character" w:customStyle="1" w:styleId="Heading3Char">
    <w:name w:val="Heading 3 Char"/>
    <w:basedOn w:val="DefaultParagraphFont"/>
    <w:link w:val="Heading3"/>
    <w:uiPriority w:val="9"/>
    <w:semiHidden/>
    <w:rsid w:val="00022B69"/>
    <w:rPr>
      <w:rFonts w:asciiTheme="majorHAnsi" w:eastAsiaTheme="majorEastAsia" w:hAnsiTheme="majorHAnsi" w:cstheme="majorBidi"/>
      <w:color w:val="1F4D78" w:themeColor="accent1" w:themeShade="7F"/>
      <w:sz w:val="24"/>
      <w:szCs w:val="24"/>
    </w:rPr>
  </w:style>
  <w:style w:type="paragraph" w:styleId="ListBullet">
    <w:name w:val="List Bullet"/>
    <w:basedOn w:val="Normal"/>
    <w:uiPriority w:val="99"/>
    <w:unhideWhenUsed/>
    <w:rsid w:val="0076355D"/>
    <w:pPr>
      <w:numPr>
        <w:numId w:val="18"/>
      </w:numPr>
      <w:contextualSpacing/>
    </w:pPr>
  </w:style>
  <w:style w:type="character" w:customStyle="1" w:styleId="button-container">
    <w:name w:val="button-container"/>
    <w:basedOn w:val="DefaultParagraphFont"/>
    <w:rsid w:val="007526B7"/>
  </w:style>
  <w:style w:type="character" w:styleId="FollowedHyperlink">
    <w:name w:val="FollowedHyperlink"/>
    <w:basedOn w:val="DefaultParagraphFont"/>
    <w:uiPriority w:val="99"/>
    <w:semiHidden/>
    <w:unhideWhenUsed/>
    <w:rsid w:val="007F15B2"/>
    <w:rPr>
      <w:color w:val="954F72" w:themeColor="followedHyperlink"/>
      <w:u w:val="single"/>
    </w:rPr>
  </w:style>
  <w:style w:type="paragraph" w:styleId="Header">
    <w:name w:val="header"/>
    <w:basedOn w:val="Normal"/>
    <w:link w:val="HeaderChar"/>
    <w:uiPriority w:val="99"/>
    <w:unhideWhenUsed/>
    <w:rsid w:val="000E4383"/>
    <w:pPr>
      <w:tabs>
        <w:tab w:val="center" w:pos="4680"/>
        <w:tab w:val="right" w:pos="9360"/>
      </w:tabs>
    </w:pPr>
  </w:style>
  <w:style w:type="character" w:customStyle="1" w:styleId="HeaderChar">
    <w:name w:val="Header Char"/>
    <w:basedOn w:val="DefaultParagraphFont"/>
    <w:link w:val="Header"/>
    <w:uiPriority w:val="99"/>
    <w:rsid w:val="000E438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4383"/>
    <w:pPr>
      <w:tabs>
        <w:tab w:val="center" w:pos="4680"/>
        <w:tab w:val="right" w:pos="9360"/>
      </w:tabs>
    </w:pPr>
  </w:style>
  <w:style w:type="character" w:customStyle="1" w:styleId="FooterChar">
    <w:name w:val="Footer Char"/>
    <w:basedOn w:val="DefaultParagraphFont"/>
    <w:link w:val="Footer"/>
    <w:uiPriority w:val="99"/>
    <w:rsid w:val="000E4383"/>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0E4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reativecommons.org/share-your-wor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survey.zohopublic.com/zs/xTCCv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80b104a84a1dbbf48154349606acd99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ddfcfd57ef0f81b23b4cccf9ad9cae23"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2162A736-8671-45CC-BEA8-EB9510E36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 ds:uri="9fff0862-dda6-4fd7-9437-296e7a0fcd45"/>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15</Pages>
  <Words>4920</Words>
  <Characters>28795</Characters>
  <Application>Microsoft Office Word</Application>
  <DocSecurity>0</DocSecurity>
  <Lines>663</Lines>
  <Paragraphs>282</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33564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Jeff Gallant</cp:lastModifiedBy>
  <cp:revision>296</cp:revision>
  <dcterms:created xsi:type="dcterms:W3CDTF">2026-01-08T14:48:00Z</dcterms:created>
  <dcterms:modified xsi:type="dcterms:W3CDTF">2026-01-27T17:18:00Z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e1a5b98cdd71426dacb6e478c7a5882f">
    <vt:lpwstr/>
  </property>
  <property fmtid="{D5CDD505-2E9C-101B-9397-08002B2CF9AE}" pid="4" name="MediaServiceImageTags">
    <vt:lpwstr/>
  </property>
  <property fmtid="{D5CDD505-2E9C-101B-9397-08002B2CF9AE}" pid="5" name="Wiki_x0020_Page_x0020_Categories">
    <vt:lpwstr/>
  </property>
  <property fmtid="{D5CDD505-2E9C-101B-9397-08002B2CF9AE}" pid="6" name="docLang">
    <vt:lpwstr>en</vt:lpwstr>
  </property>
  <property fmtid="{D5CDD505-2E9C-101B-9397-08002B2CF9AE}" pid="7" name="TaxCatchAll">
    <vt:lpwstr/>
  </property>
  <property fmtid="{D5CDD505-2E9C-101B-9397-08002B2CF9AE}" pid="8" name="Wiki Page Categories">
    <vt:lpwstr/>
  </property>
</Properties>
</file>