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D6F8B4" w14:textId="30344429" w:rsidR="008D230E" w:rsidRDefault="00B33EB1" w:rsidP="00F777BC">
      <w:pPr>
        <w:pStyle w:val="Heading1"/>
      </w:pPr>
      <w:r>
        <w:t>Does the HR Diagram Change Over Time?</w:t>
      </w:r>
    </w:p>
    <w:p w14:paraId="479AACF5" w14:textId="77777777" w:rsidR="008A2975" w:rsidRDefault="008A2975" w:rsidP="008A2975"/>
    <w:p w14:paraId="7A0C1261" w14:textId="77777777" w:rsidR="008A2975" w:rsidRDefault="008A2975" w:rsidP="008A2975">
      <w:pPr>
        <w:pStyle w:val="Heading2"/>
        <w:rPr>
          <w:rFonts w:eastAsia="Calibri" w:cstheme="majorHAnsi"/>
        </w:rPr>
      </w:pPr>
      <w:r>
        <w:rPr>
          <w:rFonts w:eastAsia="Calibri" w:cstheme="majorHAnsi"/>
        </w:rPr>
        <w:t>Course Outcomes Met</w:t>
      </w:r>
    </w:p>
    <w:p w14:paraId="3C29FBC4" w14:textId="77777777" w:rsidR="008A2975" w:rsidRDefault="008A2975" w:rsidP="008A2975"/>
    <w:p w14:paraId="31AC50AA" w14:textId="77777777" w:rsidR="008A2975" w:rsidRDefault="008A2975" w:rsidP="008A2975">
      <w:pPr>
        <w:pStyle w:val="ListParagraph"/>
        <w:numPr>
          <w:ilvl w:val="0"/>
          <w:numId w:val="1"/>
        </w:numPr>
        <w:spacing w:line="252" w:lineRule="auto"/>
        <w:rPr>
          <w:rFonts w:ascii="Garamond" w:hAnsi="Garamond"/>
        </w:rPr>
      </w:pPr>
      <w:r>
        <w:rPr>
          <w:rFonts w:ascii="Garamond" w:hAnsi="Garamond"/>
        </w:rPr>
        <w:t xml:space="preserve">Communicate scientific issues effectively in oral and written </w:t>
      </w:r>
      <w:proofErr w:type="gramStart"/>
      <w:r>
        <w:rPr>
          <w:rFonts w:ascii="Garamond" w:hAnsi="Garamond"/>
        </w:rPr>
        <w:t>form;</w:t>
      </w:r>
      <w:proofErr w:type="gramEnd"/>
      <w:r>
        <w:rPr>
          <w:rFonts w:ascii="Garamond" w:hAnsi="Garamond"/>
        </w:rPr>
        <w:t xml:space="preserve"> </w:t>
      </w:r>
    </w:p>
    <w:p w14:paraId="3A9F6805" w14:textId="77777777" w:rsidR="008A2975" w:rsidRDefault="008A2975" w:rsidP="008A2975">
      <w:pPr>
        <w:pStyle w:val="ListParagraph"/>
        <w:numPr>
          <w:ilvl w:val="0"/>
          <w:numId w:val="1"/>
        </w:numPr>
        <w:spacing w:line="252" w:lineRule="auto"/>
        <w:rPr>
          <w:rFonts w:ascii="Garamond" w:hAnsi="Garamond"/>
        </w:rPr>
      </w:pPr>
      <w:r>
        <w:rPr>
          <w:rFonts w:ascii="Garamond" w:hAnsi="Garamond"/>
        </w:rPr>
        <w:t xml:space="preserve">Effectively collect, analyze and present data and correctly construct and interpret charts, graphs and tables to draw scientific </w:t>
      </w:r>
      <w:proofErr w:type="gramStart"/>
      <w:r>
        <w:rPr>
          <w:rFonts w:ascii="Garamond" w:hAnsi="Garamond"/>
        </w:rPr>
        <w:t>conclusions;</w:t>
      </w:r>
      <w:proofErr w:type="gramEnd"/>
      <w:r>
        <w:rPr>
          <w:rFonts w:ascii="Garamond" w:hAnsi="Garamond"/>
        </w:rPr>
        <w:t xml:space="preserve"> </w:t>
      </w:r>
    </w:p>
    <w:p w14:paraId="10664EA0" w14:textId="77777777" w:rsidR="008A2975" w:rsidRPr="008A2975" w:rsidRDefault="008A2975" w:rsidP="008A2975">
      <w:pPr>
        <w:pStyle w:val="ListParagraph"/>
        <w:numPr>
          <w:ilvl w:val="0"/>
          <w:numId w:val="1"/>
        </w:numPr>
        <w:spacing w:line="252" w:lineRule="auto"/>
        <w:rPr>
          <w:rFonts w:ascii="Garamond" w:hAnsi="Garamond"/>
        </w:rPr>
      </w:pPr>
      <w:r>
        <w:rPr>
          <w:rFonts w:ascii="Garamond" w:hAnsi="Garamond"/>
        </w:rPr>
        <w:t xml:space="preserve">Apply the fundamental concepts and methodologies of physics and/or chemistry to investigate a </w:t>
      </w:r>
      <w:r w:rsidRPr="008A2975">
        <w:rPr>
          <w:rFonts w:ascii="Garamond" w:hAnsi="Garamond"/>
        </w:rPr>
        <w:t xml:space="preserve">scientific theme. </w:t>
      </w:r>
    </w:p>
    <w:p w14:paraId="71AB5534" w14:textId="54F0A499" w:rsidR="008A2975" w:rsidRDefault="008A2975" w:rsidP="008A2975">
      <w:pPr>
        <w:pStyle w:val="ListParagraph"/>
        <w:numPr>
          <w:ilvl w:val="0"/>
          <w:numId w:val="1"/>
        </w:numPr>
        <w:spacing w:line="252" w:lineRule="auto"/>
        <w:rPr>
          <w:rFonts w:ascii="Garamond" w:hAnsi="Garamond"/>
        </w:rPr>
      </w:pPr>
      <w:r w:rsidRPr="008A2975">
        <w:rPr>
          <w:rFonts w:ascii="Garamond" w:hAnsi="Garamond"/>
        </w:rPr>
        <w:t xml:space="preserve">Distinguish scientific studies from popular opinions by employing critical thinking skills and the scientific </w:t>
      </w:r>
      <w:proofErr w:type="gramStart"/>
      <w:r w:rsidRPr="008A2975">
        <w:rPr>
          <w:rFonts w:ascii="Garamond" w:hAnsi="Garamond"/>
        </w:rPr>
        <w:t>method;</w:t>
      </w:r>
      <w:proofErr w:type="gramEnd"/>
    </w:p>
    <w:p w14:paraId="53B25A7D" w14:textId="045B09E5" w:rsidR="000C2B03" w:rsidRDefault="008A2975" w:rsidP="000C2B03">
      <w:r>
        <w:t>Tools used in this activity:</w:t>
      </w:r>
    </w:p>
    <w:p w14:paraId="506D3A36" w14:textId="2B6867ED" w:rsidR="008A2975" w:rsidRPr="008A2975" w:rsidRDefault="008A2975" w:rsidP="008A2975">
      <w:pPr>
        <w:pStyle w:val="ListParagraph"/>
        <w:numPr>
          <w:ilvl w:val="0"/>
          <w:numId w:val="2"/>
        </w:numPr>
      </w:pPr>
      <w:r>
        <w:rPr>
          <w:rFonts w:ascii="Garamond" w:hAnsi="Garamond"/>
        </w:rPr>
        <w:t>PhET black body simulator</w:t>
      </w:r>
    </w:p>
    <w:p w14:paraId="289D9301" w14:textId="0F1F6EBD" w:rsidR="008A2975" w:rsidRDefault="008A2975" w:rsidP="008A2975">
      <w:pPr>
        <w:pStyle w:val="ListParagraph"/>
        <w:numPr>
          <w:ilvl w:val="0"/>
          <w:numId w:val="2"/>
        </w:numPr>
      </w:pPr>
      <w:r>
        <w:rPr>
          <w:rFonts w:ascii="Garamond" w:hAnsi="Garamond"/>
        </w:rPr>
        <w:t>Real star data from the Hipparcos satellite</w:t>
      </w:r>
    </w:p>
    <w:p w14:paraId="6E5CA3D4" w14:textId="631D866A" w:rsidR="00B33EB1" w:rsidRDefault="00B33EB1" w:rsidP="00B33EB1">
      <w:pPr>
        <w:pStyle w:val="Heading2"/>
      </w:pPr>
      <w:r>
        <w:t xml:space="preserve">A. Getting </w:t>
      </w:r>
      <w:proofErr w:type="gramStart"/>
      <w:r>
        <w:t>The</w:t>
      </w:r>
      <w:proofErr w:type="gramEnd"/>
      <w:r>
        <w:t xml:space="preserve"> Idea</w:t>
      </w:r>
    </w:p>
    <w:p w14:paraId="45149FD6" w14:textId="77777777" w:rsidR="00B33EB1" w:rsidRDefault="00B33EB1" w:rsidP="000C2B03"/>
    <w:p w14:paraId="319DB79A" w14:textId="7305EAFB" w:rsidR="000C2B03" w:rsidRDefault="000C2B03" w:rsidP="000C2B03">
      <w:r>
        <w:t>We’re going to construct an HR diagram for a group of stars that all formed at the same time. For this purpose, we’ll use the open cluster that is easiest to see from Earth, the Pleiades. If you can find Orion, the Pleiades are right next door. Here’s a picture.</w:t>
      </w:r>
    </w:p>
    <w:p w14:paraId="50623700" w14:textId="62E4E971" w:rsidR="000C2B03" w:rsidRDefault="000C2B03" w:rsidP="000C2B03"/>
    <w:p w14:paraId="02DC8A37" w14:textId="27AAB490" w:rsidR="000C2B03" w:rsidRDefault="000C2B03" w:rsidP="000C2B03">
      <w:r>
        <w:rPr>
          <w:noProof/>
        </w:rPr>
        <w:drawing>
          <wp:inline distT="0" distB="0" distL="0" distR="0" wp14:anchorId="3BF004B4" wp14:editId="013107DE">
            <wp:extent cx="5943600" cy="3962400"/>
            <wp:effectExtent l="0" t="0" r="0" b="0"/>
            <wp:docPr id="1" name="Picture 1" descr="Photo of the Pleiades position relative to Or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Photo of the Pleiades position relative to Orion"/>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3962400"/>
                    </a:xfrm>
                    <a:prstGeom prst="rect">
                      <a:avLst/>
                    </a:prstGeom>
                  </pic:spPr>
                </pic:pic>
              </a:graphicData>
            </a:graphic>
          </wp:inline>
        </w:drawing>
      </w:r>
    </w:p>
    <w:p w14:paraId="5ADDC350" w14:textId="6EF3FE79" w:rsidR="000C2B03" w:rsidRDefault="000C2B03" w:rsidP="000C2B03"/>
    <w:p w14:paraId="217667A3" w14:textId="340DE2D2" w:rsidR="000C2B03" w:rsidRDefault="000C2B03" w:rsidP="000C2B03">
      <w:r>
        <w:t xml:space="preserve">Orion, the Hunter, is on the left. The line of three bright blue stars is his belt. His left shoulder is the bright red star Betelgeuse. Betelgeuse connects in a sort of straight line to another red star to the right, Aldebaran. </w:t>
      </w:r>
      <w:r w:rsidR="00492242">
        <w:t xml:space="preserve">If you follow that line on to the right, you see a little tiny dipper of stars. That’s the Pleiades. You can see 6 of them (7 if you have </w:t>
      </w:r>
      <w:proofErr w:type="gramStart"/>
      <w:r w:rsidR="00492242">
        <w:t>really good</w:t>
      </w:r>
      <w:proofErr w:type="gramEnd"/>
      <w:r w:rsidR="00492242">
        <w:t xml:space="preserve"> eyes), but there are hundreds in the cluster. Those are just the brightest ones.</w:t>
      </w:r>
    </w:p>
    <w:p w14:paraId="5143957F" w14:textId="77777777" w:rsidR="00B33EB1" w:rsidRDefault="00B33EB1" w:rsidP="000C2B03"/>
    <w:p w14:paraId="124BDF52" w14:textId="79DA3A23" w:rsidR="00B33EB1" w:rsidRDefault="00B33EB1" w:rsidP="000C2B03">
      <w:r>
        <w:t>Close up, the Pleiades looks like this.</w:t>
      </w:r>
    </w:p>
    <w:p w14:paraId="31F23E5D" w14:textId="77777777" w:rsidR="00B33EB1" w:rsidRDefault="00B33EB1" w:rsidP="000C2B03"/>
    <w:p w14:paraId="3F4C97AF" w14:textId="2D3404E1" w:rsidR="00B33EB1" w:rsidRDefault="00B33EB1" w:rsidP="000C2B03">
      <w:r>
        <w:rPr>
          <w:noProof/>
        </w:rPr>
        <w:drawing>
          <wp:inline distT="0" distB="0" distL="0" distR="0" wp14:anchorId="3FABF5B1" wp14:editId="0E00CAAB">
            <wp:extent cx="5943600" cy="4284345"/>
            <wp:effectExtent l="0" t="0" r="0" b="1905"/>
            <wp:docPr id="867512220" name="Picture 1" descr="Closeup photo of the Pleiades showing blue stars and 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512220" name="Picture 1" descr="Closeup photo of the Pleiades showing blue stars and gas"/>
                    <pic:cNvPicPr/>
                  </pic:nvPicPr>
                  <pic:blipFill>
                    <a:blip r:embed="rId7">
                      <a:extLst>
                        <a:ext uri="{28A0092B-C50C-407E-A947-70E740481C1C}">
                          <a14:useLocalDpi xmlns:a14="http://schemas.microsoft.com/office/drawing/2010/main" val="0"/>
                        </a:ext>
                      </a:extLst>
                    </a:blip>
                    <a:stretch>
                      <a:fillRect/>
                    </a:stretch>
                  </pic:blipFill>
                  <pic:spPr>
                    <a:xfrm>
                      <a:off x="0" y="0"/>
                      <a:ext cx="5943600" cy="4284345"/>
                    </a:xfrm>
                    <a:prstGeom prst="rect">
                      <a:avLst/>
                    </a:prstGeom>
                  </pic:spPr>
                </pic:pic>
              </a:graphicData>
            </a:graphic>
          </wp:inline>
        </w:drawing>
      </w:r>
    </w:p>
    <w:p w14:paraId="10DCB2F5" w14:textId="77777777" w:rsidR="00B33EB1" w:rsidRDefault="00B33EB1" w:rsidP="00B33EB1">
      <w:pPr>
        <w:ind w:left="720"/>
      </w:pPr>
    </w:p>
    <w:p w14:paraId="2177790C" w14:textId="129D1497" w:rsidR="00492242" w:rsidRDefault="00B33EB1" w:rsidP="00B33EB1">
      <w:pPr>
        <w:ind w:left="720"/>
      </w:pPr>
      <w:r>
        <w:t>1. From your reading about star formation, why would we think the Pleiades are all about the same age?</w:t>
      </w:r>
    </w:p>
    <w:p w14:paraId="41D02BD0" w14:textId="77777777" w:rsidR="00B33EB1" w:rsidRDefault="00B33EB1" w:rsidP="00B33EB1">
      <w:pPr>
        <w:ind w:left="720"/>
      </w:pPr>
    </w:p>
    <w:p w14:paraId="750B8973" w14:textId="77777777" w:rsidR="00B33EB1" w:rsidRDefault="00B33EB1" w:rsidP="00B33EB1">
      <w:pPr>
        <w:ind w:left="720"/>
      </w:pPr>
    </w:p>
    <w:p w14:paraId="0F3B1BF0" w14:textId="77777777" w:rsidR="00B33EB1" w:rsidRDefault="00B33EB1" w:rsidP="00B33EB1">
      <w:pPr>
        <w:ind w:left="720"/>
      </w:pPr>
    </w:p>
    <w:p w14:paraId="7594BBD4" w14:textId="77777777" w:rsidR="00B33EB1" w:rsidRDefault="00B33EB1" w:rsidP="00B33EB1">
      <w:pPr>
        <w:ind w:left="720"/>
      </w:pPr>
    </w:p>
    <w:p w14:paraId="420E154E" w14:textId="77777777" w:rsidR="00B33EB1" w:rsidRDefault="00B33EB1" w:rsidP="00B33EB1">
      <w:pPr>
        <w:ind w:left="720"/>
      </w:pPr>
    </w:p>
    <w:p w14:paraId="37BED832" w14:textId="77777777" w:rsidR="00B33EB1" w:rsidRDefault="00B33EB1" w:rsidP="00B33EB1">
      <w:pPr>
        <w:ind w:left="720"/>
      </w:pPr>
    </w:p>
    <w:p w14:paraId="492F63C4" w14:textId="1D3DEE33" w:rsidR="00B33EB1" w:rsidRDefault="00B33EB1" w:rsidP="00B33EB1">
      <w:pPr>
        <w:ind w:left="720"/>
      </w:pPr>
      <w:r>
        <w:t>2. Would you say the stars in the Pleiades are young, old, or middle aged? Think about what you learned from the Hoe Long Do Stars Live? activity.</w:t>
      </w:r>
    </w:p>
    <w:p w14:paraId="030C65EA" w14:textId="77777777" w:rsidR="00B33EB1" w:rsidRDefault="00B33EB1" w:rsidP="00B33EB1">
      <w:pPr>
        <w:ind w:left="720"/>
      </w:pPr>
    </w:p>
    <w:p w14:paraId="78E0C797" w14:textId="77777777" w:rsidR="00B33EB1" w:rsidRDefault="00B33EB1" w:rsidP="00B33EB1">
      <w:pPr>
        <w:ind w:left="720"/>
      </w:pPr>
    </w:p>
    <w:p w14:paraId="12512F9A" w14:textId="77777777" w:rsidR="00B33EB1" w:rsidRDefault="00B33EB1" w:rsidP="00B33EB1">
      <w:pPr>
        <w:ind w:left="720"/>
      </w:pPr>
    </w:p>
    <w:p w14:paraId="279EA3DA" w14:textId="77777777" w:rsidR="00B33EB1" w:rsidRDefault="00B33EB1" w:rsidP="00B33EB1">
      <w:pPr>
        <w:ind w:left="720"/>
      </w:pPr>
    </w:p>
    <w:p w14:paraId="0DD3D527" w14:textId="77777777" w:rsidR="00B33EB1" w:rsidRDefault="00B33EB1" w:rsidP="00B33EB1">
      <w:pPr>
        <w:ind w:left="720"/>
      </w:pPr>
    </w:p>
    <w:p w14:paraId="1CD92820" w14:textId="77777777" w:rsidR="00B33EB1" w:rsidRDefault="00B33EB1" w:rsidP="000C2B03"/>
    <w:p w14:paraId="4290ADB6" w14:textId="568F9C8A" w:rsidR="00492242" w:rsidRDefault="00492242" w:rsidP="000C2B03">
      <w:r>
        <w:lastRenderedPageBreak/>
        <w:t>To make an HR diagram, we need</w:t>
      </w:r>
      <w:r w:rsidR="00B33EB1">
        <w:t xml:space="preserve"> to measure t</w:t>
      </w:r>
      <w:r>
        <w:t>emperature. Astronomers have a variety of ways to measure this. We’ve looked at peak wavelength, and we’ve also looked at spectral class. A third way, which has the advantage of being able to automate</w:t>
      </w:r>
      <w:r w:rsidR="00B33EB1">
        <w:t xml:space="preserve"> easily</w:t>
      </w:r>
      <w:r>
        <w:t xml:space="preserve">, is called the B – V color index. You get this by measuring the visual magnitude through a standard blue filter (B) </w:t>
      </w:r>
      <w:proofErr w:type="gramStart"/>
      <w:r>
        <w:t>and also</w:t>
      </w:r>
      <w:proofErr w:type="gramEnd"/>
      <w:r>
        <w:t xml:space="preserve"> through a standard green filter (V because green is the center of the visible spectrum). Then you subtract B – V. </w:t>
      </w:r>
    </w:p>
    <w:p w14:paraId="050D450B" w14:textId="691E74F6" w:rsidR="00492242" w:rsidRDefault="00492242" w:rsidP="000C2B03"/>
    <w:p w14:paraId="075420D9" w14:textId="77777777" w:rsidR="00FA690A" w:rsidRDefault="00B33EB1" w:rsidP="00B33EB1">
      <w:pPr>
        <w:ind w:left="720"/>
      </w:pPr>
      <w:r>
        <w:t>3. Why should the color index be related to the temperature of stars? You might want to refer to the PhET simulator you used in the How hot are stars? activity.</w:t>
      </w:r>
    </w:p>
    <w:p w14:paraId="71A9C5AF" w14:textId="77777777" w:rsidR="008A2975" w:rsidRDefault="008A2975" w:rsidP="00B33EB1">
      <w:pPr>
        <w:ind w:left="720"/>
      </w:pPr>
    </w:p>
    <w:p w14:paraId="6526BEF5" w14:textId="30960BEC" w:rsidR="00B33EB1" w:rsidRDefault="00B33EB1" w:rsidP="00B33EB1">
      <w:pPr>
        <w:ind w:left="720"/>
        <w:rPr>
          <w:rStyle w:val="Hyperlink"/>
          <w:rFonts w:eastAsia="Times New Roman" w:cs="Times New Roman"/>
          <w:spacing w:val="-1"/>
        </w:rPr>
      </w:pPr>
      <w:hyperlink r:id="rId8" w:history="1">
        <w:r w:rsidRPr="003625DC">
          <w:rPr>
            <w:rStyle w:val="Hyperlink"/>
            <w:rFonts w:eastAsia="Times New Roman" w:cs="Times New Roman"/>
            <w:spacing w:val="-1"/>
          </w:rPr>
          <w:t>https://phet.colorado.edu/sims/html/blackbody-spectrum/latest/blackbody-spectrum_en.html</w:t>
        </w:r>
      </w:hyperlink>
    </w:p>
    <w:p w14:paraId="2FD49E9B" w14:textId="77777777" w:rsidR="00B33EB1" w:rsidRDefault="00B33EB1" w:rsidP="00B33EB1">
      <w:pPr>
        <w:ind w:left="720"/>
        <w:rPr>
          <w:rStyle w:val="Hyperlink"/>
          <w:rFonts w:eastAsia="Times New Roman" w:cs="Times New Roman"/>
          <w:spacing w:val="-1"/>
        </w:rPr>
      </w:pPr>
    </w:p>
    <w:p w14:paraId="6C48B152" w14:textId="77777777" w:rsidR="00B33EB1" w:rsidRDefault="00B33EB1" w:rsidP="00B33EB1">
      <w:pPr>
        <w:ind w:left="720"/>
      </w:pPr>
    </w:p>
    <w:p w14:paraId="71DBCCBF" w14:textId="77777777" w:rsidR="00B33EB1" w:rsidRDefault="00B33EB1" w:rsidP="00B33EB1">
      <w:pPr>
        <w:ind w:left="720"/>
      </w:pPr>
    </w:p>
    <w:p w14:paraId="03E09AA4" w14:textId="77777777" w:rsidR="00B33EB1" w:rsidRDefault="00B33EB1" w:rsidP="00B33EB1">
      <w:pPr>
        <w:ind w:left="720"/>
      </w:pPr>
    </w:p>
    <w:p w14:paraId="43AA3A32" w14:textId="77777777" w:rsidR="00B33EB1" w:rsidRDefault="00B33EB1" w:rsidP="00B33EB1">
      <w:pPr>
        <w:ind w:left="720"/>
      </w:pPr>
    </w:p>
    <w:p w14:paraId="0C19C199" w14:textId="77777777" w:rsidR="00B33EB1" w:rsidRDefault="00B33EB1" w:rsidP="00B33EB1">
      <w:pPr>
        <w:ind w:left="720"/>
      </w:pPr>
    </w:p>
    <w:p w14:paraId="3B45CF45" w14:textId="64DE0C53" w:rsidR="00B33EB1" w:rsidRDefault="00B33EB1" w:rsidP="00B33EB1">
      <w:pPr>
        <w:ind w:left="720"/>
      </w:pPr>
      <w:r>
        <w:t>4</w:t>
      </w:r>
      <w:r w:rsidRPr="00B33EB1">
        <w:t xml:space="preserve">. </w:t>
      </w:r>
      <w:r>
        <w:t>What should be true of the B-V color index for blue stars vs. red ones?</w:t>
      </w:r>
      <w:r w:rsidR="00FA690A">
        <w:t xml:space="preserve"> If you look at the intensities in blue and green on the simulator, you should be able to see the difference.</w:t>
      </w:r>
    </w:p>
    <w:p w14:paraId="5A203E3E" w14:textId="77777777" w:rsidR="00B33EB1" w:rsidRDefault="00B33EB1" w:rsidP="00B33EB1">
      <w:pPr>
        <w:ind w:left="720"/>
      </w:pPr>
    </w:p>
    <w:p w14:paraId="131AEF57" w14:textId="77777777" w:rsidR="00B33EB1" w:rsidRDefault="00B33EB1" w:rsidP="00B33EB1">
      <w:pPr>
        <w:ind w:left="720"/>
      </w:pPr>
    </w:p>
    <w:p w14:paraId="7D127921" w14:textId="77777777" w:rsidR="00B33EB1" w:rsidRDefault="00B33EB1" w:rsidP="00B33EB1">
      <w:pPr>
        <w:ind w:left="720"/>
      </w:pPr>
    </w:p>
    <w:p w14:paraId="36474C8C" w14:textId="77777777" w:rsidR="00B33EB1" w:rsidRDefault="00B33EB1" w:rsidP="00B33EB1">
      <w:pPr>
        <w:ind w:left="720"/>
      </w:pPr>
    </w:p>
    <w:p w14:paraId="1702754E" w14:textId="273E73B8" w:rsidR="00166C52" w:rsidRDefault="00166C52" w:rsidP="00166C52">
      <w:pPr>
        <w:jc w:val="center"/>
        <w:rPr>
          <w:b/>
          <w:bCs/>
          <w:i/>
          <w:iCs/>
          <w:color w:val="FF0000"/>
          <w:sz w:val="36"/>
          <w:szCs w:val="36"/>
        </w:rPr>
      </w:pPr>
      <w:r w:rsidRPr="00056E79">
        <w:rPr>
          <w:b/>
          <w:bCs/>
          <w:i/>
          <w:iCs/>
          <w:color w:val="FF0000"/>
          <w:sz w:val="36"/>
          <w:szCs w:val="36"/>
        </w:rPr>
        <w:t xml:space="preserve">Check your results with your instructor </w:t>
      </w:r>
      <w:r>
        <w:rPr>
          <w:b/>
          <w:bCs/>
          <w:i/>
          <w:iCs/>
          <w:color w:val="FF0000"/>
          <w:sz w:val="36"/>
          <w:szCs w:val="36"/>
        </w:rPr>
        <w:t>at this point</w:t>
      </w:r>
    </w:p>
    <w:p w14:paraId="7D0E6197" w14:textId="77777777" w:rsidR="00B33EB1" w:rsidRDefault="00B33EB1" w:rsidP="00B33EB1">
      <w:pPr>
        <w:ind w:left="720"/>
      </w:pPr>
    </w:p>
    <w:p w14:paraId="6E4671C3" w14:textId="2F6D39C0" w:rsidR="00B33EB1" w:rsidRDefault="00B33EB1" w:rsidP="00B33EB1">
      <w:pPr>
        <w:pStyle w:val="Heading2"/>
      </w:pPr>
      <w:r>
        <w:t>B. Some Actual Data</w:t>
      </w:r>
    </w:p>
    <w:p w14:paraId="76BE8EDD" w14:textId="077B9A7E" w:rsidR="00492242" w:rsidRDefault="00492242" w:rsidP="000C2B03"/>
    <w:p w14:paraId="2BE27DF6" w14:textId="1D82A954" w:rsidR="00492242" w:rsidRDefault="00B33EB1" w:rsidP="000C2B03">
      <w:r>
        <w:t>The second thing we need to know is a</w:t>
      </w:r>
      <w:r w:rsidR="00492242">
        <w:t>bsolute magnitude. Visual magnitude is easy to get but to determine absolute magnitude, we need to know the distance</w:t>
      </w:r>
      <w:r>
        <w:t xml:space="preserve"> to the star</w:t>
      </w:r>
      <w:r w:rsidR="00492242">
        <w:t>. Fortunately, we’ve learned how to get the distance, at least for stars that are not too far away, by measuring their parallax angle. At the end of the How Far Away Are Stars activity, we had a very simple equation to get the distance in parsecs if we know the parallax in seconds of arc.</w:t>
      </w:r>
    </w:p>
    <w:p w14:paraId="4CCBF393" w14:textId="474C2D56" w:rsidR="00221F82" w:rsidRDefault="00221F82" w:rsidP="000C2B03"/>
    <w:p w14:paraId="50741B67" w14:textId="3445963C" w:rsidR="00221F82" w:rsidRDefault="00221F82" w:rsidP="000C2B03">
      <w:r>
        <w:t>The atmosphere makes parallax measurements from Earth hard, but several years ago the European Space Agency launched a satellite named Hipparcos whose sole purpose was to make very precise parallax angle measurement</w:t>
      </w:r>
      <w:r w:rsidR="00B33EB1">
        <w:t>s</w:t>
      </w:r>
      <w:r>
        <w:t xml:space="preserve"> out to a great distance. They got some other data besides, but </w:t>
      </w:r>
      <w:r w:rsidR="00B33EB1">
        <w:t>parallax</w:t>
      </w:r>
      <w:r>
        <w:t xml:space="preserve"> was the main point. We’re going to use actual Hipparcos data in this activity.</w:t>
      </w:r>
    </w:p>
    <w:p w14:paraId="3CFBCE11" w14:textId="231D40AA" w:rsidR="00221F82" w:rsidRDefault="00221F82" w:rsidP="000C2B03"/>
    <w:p w14:paraId="34466F1C" w14:textId="1C79D300" w:rsidR="00221F82" w:rsidRDefault="00221F82" w:rsidP="000C2B03">
      <w:r>
        <w:t xml:space="preserve">To locate objects, we use their Right Ascension (RA) and declination (dec) coordinates. You can think of these as longitude and latitude in the sky respectively. </w:t>
      </w:r>
    </w:p>
    <w:p w14:paraId="08A065F2" w14:textId="0C739835" w:rsidR="00221F82" w:rsidRDefault="00221F82" w:rsidP="000C2B03"/>
    <w:p w14:paraId="49A2F1EF" w14:textId="54E3654F" w:rsidR="00221F82" w:rsidRDefault="00221F82" w:rsidP="000C2B03">
      <w:r>
        <w:t xml:space="preserve">In the Hipparcos data, the B – V value will </w:t>
      </w:r>
      <w:proofErr w:type="gramStart"/>
      <w:r>
        <w:t>actually be</w:t>
      </w:r>
      <w:proofErr w:type="gramEnd"/>
      <w:r>
        <w:t xml:space="preserve"> given to you. We’re going to have to work at it to get the absolute magnitude. </w:t>
      </w:r>
      <w:proofErr w:type="gramStart"/>
      <w:r>
        <w:t>First</w:t>
      </w:r>
      <w:proofErr w:type="gramEnd"/>
      <w:r>
        <w:t xml:space="preserve"> we’ll see how to set it up and then we’ll let Excel do all the tedious calculations.</w:t>
      </w:r>
    </w:p>
    <w:p w14:paraId="32B27DA3" w14:textId="048AAC50" w:rsidR="00221F82" w:rsidRDefault="00221F82" w:rsidP="000C2B03"/>
    <w:p w14:paraId="1A99EC18" w14:textId="169544E4" w:rsidR="00CA3D65" w:rsidRDefault="00221F82" w:rsidP="00221F82">
      <w:r>
        <w:t xml:space="preserve">You can access a </w:t>
      </w:r>
      <w:r w:rsidR="00CA3D65">
        <w:t xml:space="preserve">Java </w:t>
      </w:r>
      <w:r>
        <w:t>tool that shows an image of the sky with all Hipparcos data</w:t>
      </w:r>
      <w:r w:rsidR="00CA3D65">
        <w:t xml:space="preserve"> at </w:t>
      </w:r>
      <w:hyperlink r:id="rId9" w:history="1">
        <w:r w:rsidR="00CA3D65" w:rsidRPr="00D761CC">
          <w:rPr>
            <w:rStyle w:val="Hyperlink"/>
          </w:rPr>
          <w:t>https://www.cosmos.esa.int/web/hipparcos/java-tools/show-sky</w:t>
        </w:r>
      </w:hyperlink>
      <w:r>
        <w:t xml:space="preserve">. </w:t>
      </w:r>
      <w:r w:rsidR="00CA3D65">
        <w:t xml:space="preserve">Let’s start with one of the brightest stars in the sky, Sirius. </w:t>
      </w:r>
    </w:p>
    <w:p w14:paraId="74BA5F34" w14:textId="77777777" w:rsidR="00CA3D65" w:rsidRDefault="00CA3D65" w:rsidP="00221F82"/>
    <w:p w14:paraId="0F4ED7EB" w14:textId="3FE00738" w:rsidR="00B80DA6" w:rsidRDefault="00CA3D65" w:rsidP="00221F82">
      <w:r>
        <w:t xml:space="preserve">Start the app and click Show Sky. </w:t>
      </w:r>
      <w:r w:rsidR="00B80DA6">
        <w:t xml:space="preserve">By default, the app shows you Hipparcos data as well as that from a previous satellite, Tycho. Tycho’s data is considerably less accurate and sometimes meaningless (e.g. a negative parallax just means the uncertainty in the measurement is bigger than the measurement). </w:t>
      </w:r>
      <w:proofErr w:type="spellStart"/>
      <w:proofErr w:type="gramStart"/>
      <w:r w:rsidR="00B80DA6">
        <w:t>Lets</w:t>
      </w:r>
      <w:proofErr w:type="spellEnd"/>
      <w:proofErr w:type="gramEnd"/>
      <w:r w:rsidR="00B80DA6">
        <w:t xml:space="preserve"> just look at Hipparcos so uncheck the Tycho</w:t>
      </w:r>
      <w:r w:rsidR="00C914C1">
        <w:t xml:space="preserve"> (View TYC)</w:t>
      </w:r>
      <w:r w:rsidR="00B80DA6">
        <w:t xml:space="preserve"> box. You should see nothing but red </w:t>
      </w:r>
      <w:proofErr w:type="gramStart"/>
      <w:r w:rsidR="00B33EB1">
        <w:t>dots.</w:t>
      </w:r>
      <w:r w:rsidR="00B80DA6">
        <w:t>.</w:t>
      </w:r>
      <w:proofErr w:type="gramEnd"/>
    </w:p>
    <w:p w14:paraId="3CAAF3B8" w14:textId="77777777" w:rsidR="00B80DA6" w:rsidRDefault="00B80DA6" w:rsidP="00221F82"/>
    <w:p w14:paraId="6D85B897" w14:textId="77777777" w:rsidR="00B33EB1" w:rsidRDefault="00CA3D65" w:rsidP="00221F82">
      <w:r>
        <w:t xml:space="preserve">The RA and dec for Sirius are </w:t>
      </w:r>
      <w:r w:rsidR="00B80DA6">
        <w:t xml:space="preserve">RA = </w:t>
      </w:r>
      <w:r w:rsidR="00B80DA6" w:rsidRPr="00B80DA6">
        <w:t>101.2871541</w:t>
      </w:r>
      <w:r w:rsidR="00B80DA6">
        <w:rPr>
          <w:vertAlign w:val="superscript"/>
        </w:rPr>
        <w:t>o</w:t>
      </w:r>
      <w:r w:rsidR="00B80DA6">
        <w:t xml:space="preserve"> and dec = </w:t>
      </w:r>
      <w:r w:rsidR="00B80DA6" w:rsidRPr="00B80DA6">
        <w:t>-16.71612</w:t>
      </w:r>
      <w:r w:rsidR="00B80DA6">
        <w:rPr>
          <w:vertAlign w:val="superscript"/>
        </w:rPr>
        <w:t>o</w:t>
      </w:r>
      <w:r w:rsidR="00B80DA6">
        <w:t xml:space="preserve">. (Negative means it is in the Southern sky. </w:t>
      </w:r>
      <w:r w:rsidR="00221F82">
        <w:t>Enter the coordinates</w:t>
      </w:r>
      <w:r w:rsidR="00B80DA6">
        <w:t xml:space="preserve"> at the bottom of the screen and</w:t>
      </w:r>
      <w:r w:rsidR="00221F82">
        <w:t xml:space="preserve"> click on View. The applet will draw the region of sky around Sirius. The larger the circle, the brighter the star. Click on Sirius, </w:t>
      </w:r>
      <w:r w:rsidR="00B80DA6">
        <w:t>which should be hard to miss</w:t>
      </w:r>
      <w:r w:rsidR="00221F82">
        <w:t xml:space="preserve">, then click Get Info. </w:t>
      </w:r>
    </w:p>
    <w:p w14:paraId="3D01858C" w14:textId="77777777" w:rsidR="00B33EB1" w:rsidRDefault="00B33EB1" w:rsidP="00221F82"/>
    <w:p w14:paraId="5653D1E8" w14:textId="3338C275" w:rsidR="00221F82" w:rsidRDefault="00B80DA6" w:rsidP="00221F82">
      <w:r>
        <w:t>A window will open in your web browser</w:t>
      </w:r>
      <w:r w:rsidR="00221F82">
        <w:t xml:space="preserve"> with a </w:t>
      </w:r>
      <w:r>
        <w:t>LOT</w:t>
      </w:r>
      <w:r w:rsidR="00221F82">
        <w:t xml:space="preserve"> of information. </w:t>
      </w:r>
      <w:r>
        <w:t xml:space="preserve">We are primarily interested in </w:t>
      </w:r>
      <w:r w:rsidR="00B33EB1">
        <w:t>three lines in the data. L</w:t>
      </w:r>
      <w:r>
        <w:t>ine H11</w:t>
      </w:r>
      <w:r w:rsidR="00B33EB1">
        <w:t xml:space="preserve"> gives the</w:t>
      </w:r>
      <w:r>
        <w:t xml:space="preserve"> Trigonometric Parallax in mas (milli-arc-seconds)</w:t>
      </w:r>
      <w:r w:rsidR="00B33EB1">
        <w:t>. L</w:t>
      </w:r>
      <w:r>
        <w:t>ine H5 gives the visual magnitude. If it is somewhere around -1.44, you got the right star.</w:t>
      </w:r>
      <w:r w:rsidR="00B33EB1">
        <w:t xml:space="preserve"> And line H37 gives the B – V color index.</w:t>
      </w:r>
    </w:p>
    <w:p w14:paraId="0F1A87D5" w14:textId="07D9A703" w:rsidR="00B80DA6" w:rsidRDefault="00B80DA6" w:rsidP="00221F82"/>
    <w:p w14:paraId="43E8CD25" w14:textId="1C2B6D31" w:rsidR="00B80DA6" w:rsidRDefault="00B33EB1" w:rsidP="00B33EB1">
      <w:pPr>
        <w:ind w:left="720"/>
      </w:pPr>
      <w:r>
        <w:t>1. C</w:t>
      </w:r>
      <w:r w:rsidR="00B80DA6">
        <w:t>onvert the parallax angle from milli-arc-seconds to arc seconds and use the equation from the end of the star distance activity to calculate how far away it is in parsecs.</w:t>
      </w:r>
    </w:p>
    <w:p w14:paraId="3B478828" w14:textId="77777777" w:rsidR="00313296" w:rsidRDefault="00313296" w:rsidP="00B33EB1">
      <w:pPr>
        <w:ind w:left="720"/>
      </w:pPr>
    </w:p>
    <w:p w14:paraId="0CC0EEC7" w14:textId="77777777" w:rsidR="00313296" w:rsidRDefault="00313296" w:rsidP="00B33EB1">
      <w:pPr>
        <w:ind w:left="720"/>
      </w:pPr>
    </w:p>
    <w:p w14:paraId="4EE1C25C" w14:textId="77777777" w:rsidR="00313296" w:rsidRDefault="00313296" w:rsidP="00B33EB1">
      <w:pPr>
        <w:ind w:left="720"/>
      </w:pPr>
    </w:p>
    <w:p w14:paraId="40187488" w14:textId="77777777" w:rsidR="00313296" w:rsidRDefault="00313296" w:rsidP="00B33EB1">
      <w:pPr>
        <w:ind w:left="720"/>
      </w:pPr>
    </w:p>
    <w:p w14:paraId="510F8D93" w14:textId="77777777" w:rsidR="00313296" w:rsidRDefault="00313296" w:rsidP="00B33EB1">
      <w:pPr>
        <w:ind w:left="720"/>
      </w:pPr>
    </w:p>
    <w:p w14:paraId="3ED52A1D" w14:textId="12BD811D" w:rsidR="00B80DA6" w:rsidRDefault="00B80DA6" w:rsidP="00B33EB1">
      <w:pPr>
        <w:ind w:left="720"/>
      </w:pPr>
    </w:p>
    <w:p w14:paraId="0B0F0291" w14:textId="353E462E" w:rsidR="00B80DA6" w:rsidRDefault="00B80DA6" w:rsidP="00B33EB1">
      <w:pPr>
        <w:ind w:left="720"/>
      </w:pPr>
      <w:r>
        <w:t>2. Let’s do a few more to make sure we have the hang of it. Fill out the rest of the entries in this table.</w:t>
      </w:r>
    </w:p>
    <w:p w14:paraId="311724C2" w14:textId="5FE9FC58" w:rsidR="00B80DA6" w:rsidRDefault="00B80DA6" w:rsidP="00221F82"/>
    <w:tbl>
      <w:tblPr>
        <w:tblStyle w:val="TableGrid"/>
        <w:tblW w:w="0" w:type="auto"/>
        <w:tblLook w:val="04A0" w:firstRow="1" w:lastRow="0" w:firstColumn="1" w:lastColumn="0" w:noHBand="0" w:noVBand="1"/>
      </w:tblPr>
      <w:tblGrid>
        <w:gridCol w:w="1558"/>
        <w:gridCol w:w="1558"/>
        <w:gridCol w:w="1558"/>
        <w:gridCol w:w="1558"/>
        <w:gridCol w:w="1559"/>
        <w:gridCol w:w="1559"/>
      </w:tblGrid>
      <w:tr w:rsidR="00B80DA6" w:rsidRPr="005D506B" w14:paraId="24BC1B5D" w14:textId="77777777" w:rsidTr="00B80DA6">
        <w:tc>
          <w:tcPr>
            <w:tcW w:w="1558" w:type="dxa"/>
          </w:tcPr>
          <w:p w14:paraId="47FF6FE2" w14:textId="4864BA2C" w:rsidR="00B80DA6" w:rsidRPr="005D506B" w:rsidRDefault="00B80DA6" w:rsidP="005D506B">
            <w:pPr>
              <w:jc w:val="center"/>
              <w:rPr>
                <w:b/>
                <w:bCs/>
              </w:rPr>
            </w:pPr>
            <w:r w:rsidRPr="005D506B">
              <w:rPr>
                <w:b/>
                <w:bCs/>
              </w:rPr>
              <w:t>RA</w:t>
            </w:r>
          </w:p>
        </w:tc>
        <w:tc>
          <w:tcPr>
            <w:tcW w:w="1558" w:type="dxa"/>
          </w:tcPr>
          <w:p w14:paraId="2D73FC55" w14:textId="1199BE7D" w:rsidR="00B80DA6" w:rsidRPr="005D506B" w:rsidRDefault="00B80DA6" w:rsidP="005D506B">
            <w:pPr>
              <w:jc w:val="center"/>
              <w:rPr>
                <w:b/>
                <w:bCs/>
              </w:rPr>
            </w:pPr>
            <w:r w:rsidRPr="005D506B">
              <w:rPr>
                <w:b/>
                <w:bCs/>
              </w:rPr>
              <w:t>Dec</w:t>
            </w:r>
          </w:p>
        </w:tc>
        <w:tc>
          <w:tcPr>
            <w:tcW w:w="1558" w:type="dxa"/>
          </w:tcPr>
          <w:p w14:paraId="55A40A71" w14:textId="304E3235" w:rsidR="00B80DA6" w:rsidRPr="005D506B" w:rsidRDefault="00B80DA6" w:rsidP="005D506B">
            <w:pPr>
              <w:jc w:val="center"/>
              <w:rPr>
                <w:b/>
                <w:bCs/>
              </w:rPr>
            </w:pPr>
            <w:r w:rsidRPr="005D506B">
              <w:rPr>
                <w:b/>
                <w:bCs/>
              </w:rPr>
              <w:t>Visual Magnitude</w:t>
            </w:r>
            <w:r w:rsidR="005D506B">
              <w:rPr>
                <w:b/>
                <w:bCs/>
              </w:rPr>
              <w:t xml:space="preserve"> (H5)</w:t>
            </w:r>
          </w:p>
        </w:tc>
        <w:tc>
          <w:tcPr>
            <w:tcW w:w="1558" w:type="dxa"/>
          </w:tcPr>
          <w:p w14:paraId="1131686C" w14:textId="67AD9548" w:rsidR="00B80DA6" w:rsidRPr="005D506B" w:rsidRDefault="005D506B" w:rsidP="005D506B">
            <w:pPr>
              <w:jc w:val="center"/>
              <w:rPr>
                <w:b/>
                <w:bCs/>
              </w:rPr>
            </w:pPr>
            <w:r w:rsidRPr="005D506B">
              <w:rPr>
                <w:b/>
                <w:bCs/>
              </w:rPr>
              <w:t>Parallax (mas</w:t>
            </w:r>
            <w:r>
              <w:rPr>
                <w:b/>
                <w:bCs/>
              </w:rPr>
              <w:t xml:space="preserve"> – H11</w:t>
            </w:r>
            <w:r w:rsidRPr="005D506B">
              <w:rPr>
                <w:b/>
                <w:bCs/>
              </w:rPr>
              <w:t>)</w:t>
            </w:r>
          </w:p>
        </w:tc>
        <w:tc>
          <w:tcPr>
            <w:tcW w:w="1559" w:type="dxa"/>
          </w:tcPr>
          <w:p w14:paraId="2F7FA2C5" w14:textId="6CAFDE42" w:rsidR="00B80DA6" w:rsidRPr="005D506B" w:rsidRDefault="005D506B" w:rsidP="005D506B">
            <w:pPr>
              <w:jc w:val="center"/>
              <w:rPr>
                <w:b/>
                <w:bCs/>
              </w:rPr>
            </w:pPr>
            <w:r w:rsidRPr="005D506B">
              <w:rPr>
                <w:b/>
                <w:bCs/>
              </w:rPr>
              <w:t>Parallax (arcsec)</w:t>
            </w:r>
          </w:p>
        </w:tc>
        <w:tc>
          <w:tcPr>
            <w:tcW w:w="1559" w:type="dxa"/>
          </w:tcPr>
          <w:p w14:paraId="4E94277F" w14:textId="7A993155" w:rsidR="00B80DA6" w:rsidRPr="005D506B" w:rsidRDefault="005D506B" w:rsidP="005D506B">
            <w:pPr>
              <w:jc w:val="center"/>
              <w:rPr>
                <w:b/>
                <w:bCs/>
              </w:rPr>
            </w:pPr>
            <w:r w:rsidRPr="005D506B">
              <w:rPr>
                <w:b/>
                <w:bCs/>
              </w:rPr>
              <w:t>Distance (parsecs)</w:t>
            </w:r>
          </w:p>
        </w:tc>
      </w:tr>
      <w:tr w:rsidR="005D506B" w14:paraId="6BC4F3EC" w14:textId="77777777" w:rsidTr="00B80DA6">
        <w:tc>
          <w:tcPr>
            <w:tcW w:w="1558" w:type="dxa"/>
          </w:tcPr>
          <w:p w14:paraId="57E15F0A" w14:textId="4A35E4CD" w:rsidR="005D506B" w:rsidRDefault="005D506B" w:rsidP="00221F82">
            <w:r>
              <w:t>100.521</w:t>
            </w:r>
          </w:p>
        </w:tc>
        <w:tc>
          <w:tcPr>
            <w:tcW w:w="1558" w:type="dxa"/>
          </w:tcPr>
          <w:p w14:paraId="7C07ECBA" w14:textId="1CD60A97" w:rsidR="005D506B" w:rsidRDefault="005D506B" w:rsidP="00221F82">
            <w:r>
              <w:t>-15.209</w:t>
            </w:r>
          </w:p>
        </w:tc>
        <w:tc>
          <w:tcPr>
            <w:tcW w:w="1558" w:type="dxa"/>
          </w:tcPr>
          <w:p w14:paraId="5711A390" w14:textId="77777777" w:rsidR="005D506B" w:rsidRDefault="005D506B" w:rsidP="00221F82"/>
        </w:tc>
        <w:tc>
          <w:tcPr>
            <w:tcW w:w="1558" w:type="dxa"/>
          </w:tcPr>
          <w:p w14:paraId="5ABCBF3A" w14:textId="77777777" w:rsidR="005D506B" w:rsidRDefault="005D506B" w:rsidP="00221F82"/>
        </w:tc>
        <w:tc>
          <w:tcPr>
            <w:tcW w:w="1559" w:type="dxa"/>
          </w:tcPr>
          <w:p w14:paraId="1600EDD6" w14:textId="77777777" w:rsidR="005D506B" w:rsidRDefault="005D506B" w:rsidP="00221F82"/>
        </w:tc>
        <w:tc>
          <w:tcPr>
            <w:tcW w:w="1559" w:type="dxa"/>
          </w:tcPr>
          <w:p w14:paraId="3CB0F572" w14:textId="77777777" w:rsidR="005D506B" w:rsidRDefault="005D506B" w:rsidP="00221F82"/>
        </w:tc>
      </w:tr>
      <w:tr w:rsidR="005D506B" w14:paraId="52C18442" w14:textId="77777777" w:rsidTr="00B80DA6">
        <w:tc>
          <w:tcPr>
            <w:tcW w:w="1558" w:type="dxa"/>
          </w:tcPr>
          <w:p w14:paraId="1DBA3FA5" w14:textId="3C59DED0" w:rsidR="005D506B" w:rsidRDefault="005D506B" w:rsidP="00221F82">
            <w:r>
              <w:t>99.648</w:t>
            </w:r>
          </w:p>
        </w:tc>
        <w:tc>
          <w:tcPr>
            <w:tcW w:w="1558" w:type="dxa"/>
          </w:tcPr>
          <w:p w14:paraId="0D285F7B" w14:textId="7229E745" w:rsidR="005D506B" w:rsidRDefault="005D506B" w:rsidP="00221F82">
            <w:r>
              <w:t>-16.874</w:t>
            </w:r>
          </w:p>
        </w:tc>
        <w:tc>
          <w:tcPr>
            <w:tcW w:w="1558" w:type="dxa"/>
          </w:tcPr>
          <w:p w14:paraId="60E3B08C" w14:textId="77777777" w:rsidR="005D506B" w:rsidRDefault="005D506B" w:rsidP="00221F82"/>
        </w:tc>
        <w:tc>
          <w:tcPr>
            <w:tcW w:w="1558" w:type="dxa"/>
          </w:tcPr>
          <w:p w14:paraId="19F8D3E9" w14:textId="77777777" w:rsidR="005D506B" w:rsidRDefault="005D506B" w:rsidP="00221F82"/>
        </w:tc>
        <w:tc>
          <w:tcPr>
            <w:tcW w:w="1559" w:type="dxa"/>
          </w:tcPr>
          <w:p w14:paraId="79E65E71" w14:textId="77777777" w:rsidR="005D506B" w:rsidRDefault="005D506B" w:rsidP="00221F82"/>
        </w:tc>
        <w:tc>
          <w:tcPr>
            <w:tcW w:w="1559" w:type="dxa"/>
          </w:tcPr>
          <w:p w14:paraId="15C21C39" w14:textId="77777777" w:rsidR="005D506B" w:rsidRDefault="005D506B" w:rsidP="00221F82"/>
        </w:tc>
      </w:tr>
      <w:tr w:rsidR="005D506B" w14:paraId="2EFDB293" w14:textId="77777777" w:rsidTr="00B80DA6">
        <w:tc>
          <w:tcPr>
            <w:tcW w:w="1558" w:type="dxa"/>
          </w:tcPr>
          <w:p w14:paraId="7B61757F" w14:textId="0F9459B6" w:rsidR="005D506B" w:rsidRDefault="005D506B" w:rsidP="00221F82">
            <w:r>
              <w:t>100.392</w:t>
            </w:r>
          </w:p>
        </w:tc>
        <w:tc>
          <w:tcPr>
            <w:tcW w:w="1558" w:type="dxa"/>
          </w:tcPr>
          <w:p w14:paraId="64E595A0" w14:textId="21F98010" w:rsidR="005D506B" w:rsidRDefault="005D506B" w:rsidP="00221F82">
            <w:r>
              <w:t>-17.534</w:t>
            </w:r>
          </w:p>
        </w:tc>
        <w:tc>
          <w:tcPr>
            <w:tcW w:w="1558" w:type="dxa"/>
          </w:tcPr>
          <w:p w14:paraId="56AA0B24" w14:textId="77777777" w:rsidR="005D506B" w:rsidRDefault="005D506B" w:rsidP="00221F82"/>
        </w:tc>
        <w:tc>
          <w:tcPr>
            <w:tcW w:w="1558" w:type="dxa"/>
          </w:tcPr>
          <w:p w14:paraId="547A531F" w14:textId="77777777" w:rsidR="005D506B" w:rsidRDefault="005D506B" w:rsidP="00221F82"/>
        </w:tc>
        <w:tc>
          <w:tcPr>
            <w:tcW w:w="1559" w:type="dxa"/>
          </w:tcPr>
          <w:p w14:paraId="73D3AD71" w14:textId="77777777" w:rsidR="005D506B" w:rsidRDefault="005D506B" w:rsidP="00221F82"/>
        </w:tc>
        <w:tc>
          <w:tcPr>
            <w:tcW w:w="1559" w:type="dxa"/>
          </w:tcPr>
          <w:p w14:paraId="1AB1B872" w14:textId="77777777" w:rsidR="005D506B" w:rsidRDefault="005D506B" w:rsidP="00221F82"/>
        </w:tc>
      </w:tr>
      <w:tr w:rsidR="005D506B" w14:paraId="687D519C" w14:textId="77777777" w:rsidTr="00B80DA6">
        <w:tc>
          <w:tcPr>
            <w:tcW w:w="1558" w:type="dxa"/>
          </w:tcPr>
          <w:p w14:paraId="21D825F7" w14:textId="7D8113C9" w:rsidR="005D506B" w:rsidRDefault="005D506B" w:rsidP="00221F82">
            <w:r>
              <w:t>102.203</w:t>
            </w:r>
          </w:p>
        </w:tc>
        <w:tc>
          <w:tcPr>
            <w:tcW w:w="1558" w:type="dxa"/>
          </w:tcPr>
          <w:p w14:paraId="7C352C19" w14:textId="2576235D" w:rsidR="005D506B" w:rsidRDefault="005D506B" w:rsidP="00221F82">
            <w:r>
              <w:t>-16.211</w:t>
            </w:r>
          </w:p>
        </w:tc>
        <w:tc>
          <w:tcPr>
            <w:tcW w:w="1558" w:type="dxa"/>
          </w:tcPr>
          <w:p w14:paraId="1EE9C434" w14:textId="77777777" w:rsidR="005D506B" w:rsidRDefault="005D506B" w:rsidP="00221F82"/>
        </w:tc>
        <w:tc>
          <w:tcPr>
            <w:tcW w:w="1558" w:type="dxa"/>
          </w:tcPr>
          <w:p w14:paraId="0918C1F5" w14:textId="77777777" w:rsidR="005D506B" w:rsidRDefault="005D506B" w:rsidP="00221F82"/>
        </w:tc>
        <w:tc>
          <w:tcPr>
            <w:tcW w:w="1559" w:type="dxa"/>
          </w:tcPr>
          <w:p w14:paraId="15D576EC" w14:textId="77777777" w:rsidR="005D506B" w:rsidRDefault="005D506B" w:rsidP="00221F82"/>
        </w:tc>
        <w:tc>
          <w:tcPr>
            <w:tcW w:w="1559" w:type="dxa"/>
          </w:tcPr>
          <w:p w14:paraId="394007F0" w14:textId="77777777" w:rsidR="005D506B" w:rsidRDefault="005D506B" w:rsidP="00221F82"/>
        </w:tc>
      </w:tr>
    </w:tbl>
    <w:p w14:paraId="2E829BF4" w14:textId="77777777" w:rsidR="00B80DA6" w:rsidRPr="00221F82" w:rsidRDefault="00B80DA6" w:rsidP="00221F82"/>
    <w:p w14:paraId="5D9F659D" w14:textId="470A286D" w:rsidR="00221F82" w:rsidRDefault="00221F82" w:rsidP="000C2B03"/>
    <w:p w14:paraId="6BBDC91E" w14:textId="2C612011" w:rsidR="00221F82" w:rsidRDefault="00B33EB1" w:rsidP="005D506B">
      <w:pPr>
        <w:pStyle w:val="Heading2"/>
      </w:pPr>
      <w:r>
        <w:t>C</w:t>
      </w:r>
      <w:r w:rsidR="005D506B">
        <w:t>. Finding the Absolute Magnitude</w:t>
      </w:r>
    </w:p>
    <w:p w14:paraId="6AF7698E" w14:textId="30996BAA" w:rsidR="005D506B" w:rsidRDefault="005D506B" w:rsidP="005D506B"/>
    <w:p w14:paraId="08C43500" w14:textId="20EDC663" w:rsidR="005D506B" w:rsidRDefault="005D506B" w:rsidP="005D506B">
      <w:r>
        <w:t>One of your red equations from Classifying Stars II was</w:t>
      </w:r>
    </w:p>
    <w:p w14:paraId="5CE0872D" w14:textId="2CAEA091" w:rsidR="005D506B" w:rsidRDefault="005D506B" w:rsidP="005D506B"/>
    <w:p w14:paraId="769CA363" w14:textId="5F1055FF" w:rsidR="005D506B" w:rsidRDefault="005D506B" w:rsidP="005D506B">
      <w:pPr>
        <w:jc w:val="center"/>
      </w:pPr>
      <w:r w:rsidRPr="005D506B">
        <w:rPr>
          <w:rFonts w:eastAsia="Times New Roman" w:cs="Times New Roman"/>
          <w:sz w:val="24"/>
          <w:szCs w:val="24"/>
        </w:rPr>
        <w:t>I</w:t>
      </w:r>
      <w:r w:rsidRPr="005D506B">
        <w:rPr>
          <w:rFonts w:eastAsia="Times New Roman" w:cs="Times New Roman"/>
          <w:sz w:val="24"/>
          <w:szCs w:val="24"/>
          <w:vertAlign w:val="subscript"/>
        </w:rPr>
        <w:t>A</w:t>
      </w:r>
      <w:r w:rsidRPr="005D506B">
        <w:rPr>
          <w:rFonts w:eastAsia="Times New Roman" w:cs="Times New Roman"/>
          <w:sz w:val="24"/>
          <w:szCs w:val="24"/>
        </w:rPr>
        <w:t xml:space="preserve"> / I</w:t>
      </w:r>
      <w:r w:rsidRPr="005D506B">
        <w:rPr>
          <w:rFonts w:eastAsia="Times New Roman" w:cs="Times New Roman"/>
          <w:sz w:val="24"/>
          <w:szCs w:val="24"/>
          <w:vertAlign w:val="subscript"/>
        </w:rPr>
        <w:t>B</w:t>
      </w:r>
      <w:r w:rsidRPr="005D506B">
        <w:rPr>
          <w:rFonts w:eastAsia="Times New Roman" w:cs="Times New Roman"/>
          <w:sz w:val="24"/>
          <w:szCs w:val="24"/>
        </w:rPr>
        <w:t xml:space="preserve"> = (</w:t>
      </w:r>
      <w:proofErr w:type="gramStart"/>
      <w:r w:rsidRPr="005D506B">
        <w:rPr>
          <w:rFonts w:eastAsia="Times New Roman" w:cs="Times New Roman"/>
          <w:sz w:val="24"/>
          <w:szCs w:val="24"/>
        </w:rPr>
        <w:t>2.512)</w:t>
      </w:r>
      <w:r w:rsidRPr="005D506B">
        <w:rPr>
          <w:rFonts w:eastAsia="Times New Roman" w:cs="Times New Roman"/>
          <w:sz w:val="24"/>
          <w:szCs w:val="24"/>
          <w:vertAlign w:val="superscript"/>
        </w:rPr>
        <w:t>(</w:t>
      </w:r>
      <w:proofErr w:type="spellStart"/>
      <w:proofErr w:type="gramEnd"/>
      <w:r w:rsidRPr="005D506B">
        <w:rPr>
          <w:rFonts w:eastAsia="Times New Roman" w:cs="Times New Roman"/>
          <w:sz w:val="24"/>
          <w:szCs w:val="24"/>
          <w:vertAlign w:val="superscript"/>
        </w:rPr>
        <w:t>m</w:t>
      </w:r>
      <w:r w:rsidRPr="005D506B">
        <w:rPr>
          <w:rFonts w:eastAsia="Times New Roman" w:cs="Times New Roman"/>
          <w:sz w:val="24"/>
          <w:szCs w:val="24"/>
          <w:vertAlign w:val="subscript"/>
        </w:rPr>
        <w:t>B</w:t>
      </w:r>
      <w:proofErr w:type="spellEnd"/>
      <w:r w:rsidRPr="005D506B">
        <w:rPr>
          <w:rFonts w:eastAsia="Times New Roman" w:cs="Times New Roman"/>
          <w:sz w:val="24"/>
          <w:szCs w:val="24"/>
          <w:vertAlign w:val="superscript"/>
        </w:rPr>
        <w:t xml:space="preserve"> - m</w:t>
      </w:r>
      <w:r w:rsidRPr="005D506B">
        <w:rPr>
          <w:rFonts w:eastAsia="Times New Roman" w:cs="Times New Roman"/>
          <w:sz w:val="24"/>
          <w:szCs w:val="24"/>
          <w:vertAlign w:val="subscript"/>
        </w:rPr>
        <w:t>A</w:t>
      </w:r>
      <w:r w:rsidRPr="005D506B">
        <w:rPr>
          <w:rFonts w:eastAsia="Times New Roman" w:cs="Times New Roman"/>
          <w:sz w:val="24"/>
          <w:szCs w:val="24"/>
          <w:vertAlign w:val="superscript"/>
        </w:rPr>
        <w:t>)</w:t>
      </w:r>
    </w:p>
    <w:p w14:paraId="10C00C27" w14:textId="329EF8F4" w:rsidR="005D506B" w:rsidRDefault="005D506B" w:rsidP="005D506B">
      <w:pPr>
        <w:jc w:val="center"/>
      </w:pPr>
    </w:p>
    <w:p w14:paraId="17C178BE" w14:textId="2C4181E5" w:rsidR="005D506B" w:rsidRPr="005D506B" w:rsidRDefault="005D506B" w:rsidP="005D506B">
      <w:r>
        <w:t xml:space="preserve">but remember the 2.512 number is </w:t>
      </w:r>
      <w:r w:rsidR="00B33EB1">
        <w:t xml:space="preserve">really </w:t>
      </w:r>
      <w:r>
        <w:t>100</w:t>
      </w:r>
      <w:r>
        <w:rPr>
          <w:vertAlign w:val="superscript"/>
        </w:rPr>
        <w:t>1/5</w:t>
      </w:r>
      <w:r>
        <w:t xml:space="preserve"> so we can rewrite this </w:t>
      </w:r>
      <w:r w:rsidR="00B33EB1">
        <w:t xml:space="preserve">equation </w:t>
      </w:r>
      <w:r>
        <w:t>as</w:t>
      </w:r>
    </w:p>
    <w:p w14:paraId="42529EA3" w14:textId="4566E5F0" w:rsidR="005D506B" w:rsidRDefault="005D506B" w:rsidP="005D506B"/>
    <w:p w14:paraId="141EF9AA" w14:textId="357CC79D" w:rsidR="005D506B" w:rsidRPr="005D506B" w:rsidRDefault="00000000" w:rsidP="005D506B">
      <w:pPr>
        <w:jc w:val="center"/>
      </w:pPr>
      <m:oMathPara>
        <m:oMath>
          <m:f>
            <m:fPr>
              <m:ctrlPr>
                <w:rPr>
                  <w:rFonts w:ascii="Cambria Math" w:hAnsi="Cambria Math"/>
                  <w:i/>
                </w:rPr>
              </m:ctrlPr>
            </m:fPr>
            <m:num>
              <m:sSub>
                <m:sSubPr>
                  <m:ctrlPr>
                    <w:rPr>
                      <w:rFonts w:ascii="Cambria Math" w:hAnsi="Cambria Math"/>
                      <w:i/>
                    </w:rPr>
                  </m:ctrlPr>
                </m:sSubPr>
                <m:e>
                  <m:r>
                    <w:rPr>
                      <w:rFonts w:ascii="Cambria Math" w:hAnsi="Cambria Math"/>
                    </w:rPr>
                    <m:t>I</m:t>
                  </m:r>
                </m:e>
                <m:sub>
                  <m:r>
                    <w:rPr>
                      <w:rFonts w:ascii="Cambria Math" w:hAnsi="Cambria Math"/>
                    </w:rPr>
                    <m:t>A</m:t>
                  </m:r>
                </m:sub>
              </m:sSub>
            </m:num>
            <m:den>
              <m:sSub>
                <m:sSubPr>
                  <m:ctrlPr>
                    <w:rPr>
                      <w:rFonts w:ascii="Cambria Math" w:hAnsi="Cambria Math"/>
                      <w:i/>
                    </w:rPr>
                  </m:ctrlPr>
                </m:sSubPr>
                <m:e>
                  <m:r>
                    <w:rPr>
                      <w:rFonts w:ascii="Cambria Math" w:hAnsi="Cambria Math"/>
                    </w:rPr>
                    <m:t>I</m:t>
                  </m:r>
                </m:e>
                <m:sub>
                  <m:r>
                    <w:rPr>
                      <w:rFonts w:ascii="Cambria Math" w:hAnsi="Cambria Math"/>
                    </w:rPr>
                    <m:t>B</m:t>
                  </m:r>
                </m:sub>
              </m:sSub>
            </m:den>
          </m:f>
          <m:r>
            <w:rPr>
              <w:rFonts w:ascii="Cambria Math" w:hAnsi="Cambria Math"/>
            </w:rPr>
            <m:t>=</m:t>
          </m:r>
          <m:sSup>
            <m:sSupPr>
              <m:ctrlPr>
                <w:rPr>
                  <w:rFonts w:ascii="Cambria Math" w:hAnsi="Cambria Math"/>
                  <w:i/>
                </w:rPr>
              </m:ctrlPr>
            </m:sSupPr>
            <m:e>
              <m:r>
                <w:rPr>
                  <w:rFonts w:ascii="Cambria Math" w:hAnsi="Cambria Math"/>
                </w:rPr>
                <m:t>100</m:t>
              </m:r>
            </m:e>
            <m:sup>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B</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A</m:t>
                          </m:r>
                        </m:sub>
                      </m:sSub>
                    </m:num>
                    <m:den>
                      <m:r>
                        <w:rPr>
                          <w:rFonts w:ascii="Cambria Math" w:hAnsi="Cambria Math"/>
                        </w:rPr>
                        <m:t>5</m:t>
                      </m:r>
                    </m:den>
                  </m:f>
                </m:e>
              </m:d>
            </m:sup>
          </m:sSup>
        </m:oMath>
      </m:oMathPara>
    </w:p>
    <w:p w14:paraId="17FF8B7A" w14:textId="77777777" w:rsidR="007F643A" w:rsidRDefault="007F643A" w:rsidP="005D506B"/>
    <w:p w14:paraId="178FF1FF" w14:textId="1FCA85F3" w:rsidR="005D506B" w:rsidRDefault="007F643A" w:rsidP="005D506B">
      <w:r>
        <w:t xml:space="preserve">We got this equation to compare </w:t>
      </w:r>
      <w:r w:rsidR="00B2636F">
        <w:t xml:space="preserve">the brightness of </w:t>
      </w:r>
      <w:r>
        <w:t xml:space="preserve">two </w:t>
      </w:r>
      <w:proofErr w:type="gramStart"/>
      <w:r>
        <w:t>stars</w:t>
      </w:r>
      <w:proofErr w:type="gramEnd"/>
      <w:r>
        <w:t xml:space="preserve"> but we can also compare</w:t>
      </w:r>
      <w:r w:rsidR="00B2636F">
        <w:t xml:space="preserve"> the brightness of</w:t>
      </w:r>
      <w:r>
        <w:t xml:space="preserve"> the same star </w:t>
      </w:r>
      <w:r w:rsidR="00B2636F">
        <w:t>seen from</w:t>
      </w:r>
      <w:r>
        <w:t xml:space="preserve"> two different distances. The luminosity is defined to be the intensity 10 pc away from the star. Similarly, the absolute magnitude is defined to be the visual magnitude at 10 pc away. Let’s let those be position A. The apparent values will be B</w:t>
      </w:r>
      <w:r w:rsidR="00B33EB1">
        <w:t xml:space="preserve">, so </w:t>
      </w:r>
      <w:proofErr w:type="spellStart"/>
      <w:r w:rsidR="00B33EB1">
        <w:rPr>
          <w:i/>
          <w:iCs/>
        </w:rPr>
        <w:t>m</w:t>
      </w:r>
      <w:r w:rsidR="00B33EB1">
        <w:rPr>
          <w:i/>
          <w:iCs/>
          <w:vertAlign w:val="subscript"/>
        </w:rPr>
        <w:t>B</w:t>
      </w:r>
      <w:proofErr w:type="spellEnd"/>
      <w:r w:rsidR="00B33EB1">
        <w:t xml:space="preserve"> is what we called </w:t>
      </w:r>
      <w:proofErr w:type="spellStart"/>
      <w:r w:rsidR="00B33EB1">
        <w:rPr>
          <w:i/>
          <w:iCs/>
        </w:rPr>
        <w:t>m</w:t>
      </w:r>
      <w:proofErr w:type="spellEnd"/>
      <w:r w:rsidR="00B33EB1">
        <w:t xml:space="preserve"> before, the apparent visual magnitude. Similarly, </w:t>
      </w:r>
      <w:r w:rsidR="00B33EB1">
        <w:rPr>
          <w:i/>
          <w:iCs/>
        </w:rPr>
        <w:t>m</w:t>
      </w:r>
      <w:r w:rsidR="00B33EB1">
        <w:rPr>
          <w:i/>
          <w:iCs/>
          <w:vertAlign w:val="subscript"/>
        </w:rPr>
        <w:t>A</w:t>
      </w:r>
      <w:r w:rsidR="00B33EB1">
        <w:t xml:space="preserve"> is what we called </w:t>
      </w:r>
      <w:r w:rsidR="00B33EB1">
        <w:rPr>
          <w:i/>
          <w:iCs/>
        </w:rPr>
        <w:t>M</w:t>
      </w:r>
      <w:r w:rsidR="00B33EB1">
        <w:t xml:space="preserve"> before, the absolute magnitude. So</w:t>
      </w:r>
    </w:p>
    <w:p w14:paraId="0B275EAA" w14:textId="006749F2" w:rsidR="007F643A" w:rsidRDefault="007F643A" w:rsidP="005D506B"/>
    <w:p w14:paraId="62B5F0FF" w14:textId="7B8CF15F" w:rsidR="007F643A" w:rsidRPr="007F643A" w:rsidRDefault="00000000" w:rsidP="007F643A">
      <w:pPr>
        <w:jc w:val="center"/>
        <w:rPr>
          <w:rFonts w:eastAsiaTheme="minorEastAsia"/>
        </w:rPr>
      </w:pPr>
      <m:oMathPara>
        <m:oMath>
          <m:f>
            <m:fPr>
              <m:ctrlPr>
                <w:rPr>
                  <w:rFonts w:ascii="Cambria Math" w:hAnsi="Cambria Math"/>
                  <w:i/>
                </w:rPr>
              </m:ctrlPr>
            </m:fPr>
            <m:num>
              <m:sSub>
                <m:sSubPr>
                  <m:ctrlPr>
                    <w:rPr>
                      <w:rFonts w:ascii="Cambria Math" w:hAnsi="Cambria Math"/>
                      <w:i/>
                    </w:rPr>
                  </m:ctrlPr>
                </m:sSubPr>
                <m:e>
                  <m:r>
                    <w:rPr>
                      <w:rFonts w:ascii="Cambria Math" w:hAnsi="Cambria Math"/>
                    </w:rPr>
                    <m:t>I</m:t>
                  </m:r>
                </m:e>
                <m:sub>
                  <m:r>
                    <w:rPr>
                      <w:rFonts w:ascii="Cambria Math" w:hAnsi="Cambria Math"/>
                    </w:rPr>
                    <m:t>10</m:t>
                  </m:r>
                </m:sub>
              </m:sSub>
            </m:num>
            <m:den>
              <m:r>
                <w:rPr>
                  <w:rFonts w:ascii="Cambria Math" w:hAnsi="Cambria Math"/>
                </w:rPr>
                <m:t>I</m:t>
              </m:r>
            </m:den>
          </m:f>
          <m:r>
            <w:rPr>
              <w:rFonts w:ascii="Cambria Math" w:hAnsi="Cambria Math"/>
            </w:rPr>
            <m:t>=</m:t>
          </m:r>
          <m:sSup>
            <m:sSupPr>
              <m:ctrlPr>
                <w:rPr>
                  <w:rFonts w:ascii="Cambria Math" w:hAnsi="Cambria Math"/>
                  <w:i/>
                </w:rPr>
              </m:ctrlPr>
            </m:sSupPr>
            <m:e>
              <m:r>
                <w:rPr>
                  <w:rFonts w:ascii="Cambria Math" w:hAnsi="Cambria Math"/>
                </w:rPr>
                <m:t>100</m:t>
              </m:r>
            </m:e>
            <m:sup>
              <m:d>
                <m:dPr>
                  <m:ctrlPr>
                    <w:rPr>
                      <w:rFonts w:ascii="Cambria Math" w:hAnsi="Cambria Math"/>
                      <w:i/>
                    </w:rPr>
                  </m:ctrlPr>
                </m:dPr>
                <m:e>
                  <m:f>
                    <m:fPr>
                      <m:ctrlPr>
                        <w:rPr>
                          <w:rFonts w:ascii="Cambria Math" w:hAnsi="Cambria Math"/>
                          <w:i/>
                        </w:rPr>
                      </m:ctrlPr>
                    </m:fPr>
                    <m:num>
                      <m:r>
                        <w:rPr>
                          <w:rFonts w:ascii="Cambria Math" w:hAnsi="Cambria Math"/>
                        </w:rPr>
                        <m:t>m-M</m:t>
                      </m:r>
                    </m:num>
                    <m:den>
                      <m:r>
                        <w:rPr>
                          <w:rFonts w:ascii="Cambria Math" w:hAnsi="Cambria Math"/>
                        </w:rPr>
                        <m:t>5</m:t>
                      </m:r>
                    </m:den>
                  </m:f>
                </m:e>
              </m:d>
            </m:sup>
          </m:sSup>
        </m:oMath>
      </m:oMathPara>
    </w:p>
    <w:p w14:paraId="6914B927" w14:textId="5B0FFFE2" w:rsidR="007F643A" w:rsidRDefault="007F643A" w:rsidP="007F643A">
      <w:pPr>
        <w:jc w:val="center"/>
        <w:rPr>
          <w:rFonts w:eastAsiaTheme="minorEastAsia"/>
        </w:rPr>
      </w:pPr>
    </w:p>
    <w:p w14:paraId="0FD85E77" w14:textId="5F60DC88" w:rsidR="007F643A" w:rsidRDefault="007F643A" w:rsidP="007F643A">
      <w:pPr>
        <w:rPr>
          <w:rFonts w:eastAsiaTheme="minorEastAsia"/>
        </w:rPr>
      </w:pPr>
      <w:r>
        <w:rPr>
          <w:rFonts w:eastAsiaTheme="minorEastAsia"/>
        </w:rPr>
        <w:lastRenderedPageBreak/>
        <w:t>If you imagine switching a star on and off very fast, the light emitted while it was on travels equally in all direction</w:t>
      </w:r>
      <w:r w:rsidR="00B33EB1">
        <w:rPr>
          <w:rFonts w:eastAsiaTheme="minorEastAsia"/>
        </w:rPr>
        <w:t>s</w:t>
      </w:r>
      <w:r>
        <w:rPr>
          <w:rFonts w:eastAsiaTheme="minorEastAsia"/>
        </w:rPr>
        <w:t xml:space="preserve"> and is distributed across the surface of an </w:t>
      </w:r>
      <w:proofErr w:type="gramStart"/>
      <w:r>
        <w:rPr>
          <w:rFonts w:eastAsiaTheme="minorEastAsia"/>
        </w:rPr>
        <w:t>ever expanding</w:t>
      </w:r>
      <w:proofErr w:type="gramEnd"/>
      <w:r>
        <w:rPr>
          <w:rFonts w:eastAsiaTheme="minorEastAsia"/>
        </w:rPr>
        <w:t xml:space="preserve"> spherical shell. The intensity is the amount of light in each square meter of that </w:t>
      </w:r>
      <w:proofErr w:type="gramStart"/>
      <w:r>
        <w:rPr>
          <w:rFonts w:eastAsiaTheme="minorEastAsia"/>
        </w:rPr>
        <w:t>shell</w:t>
      </w:r>
      <w:proofErr w:type="gramEnd"/>
      <w:r>
        <w:rPr>
          <w:rFonts w:eastAsiaTheme="minorEastAsia"/>
        </w:rPr>
        <w:t xml:space="preserve"> so this leads to the famous inverse square law </w:t>
      </w:r>
      <w:r w:rsidR="00B33EB1">
        <w:rPr>
          <w:rFonts w:eastAsiaTheme="minorEastAsia"/>
        </w:rPr>
        <w:t xml:space="preserve">relating intensity to luminosity </w:t>
      </w:r>
      <w:r>
        <w:rPr>
          <w:rFonts w:eastAsiaTheme="minorEastAsia"/>
        </w:rPr>
        <w:t>(here’s where distance comes in).</w:t>
      </w:r>
    </w:p>
    <w:p w14:paraId="1946C251" w14:textId="4A995D0A" w:rsidR="007F643A" w:rsidRDefault="007F643A" w:rsidP="007F643A">
      <w:pPr>
        <w:rPr>
          <w:rFonts w:eastAsiaTheme="minorEastAsia"/>
        </w:rPr>
      </w:pPr>
    </w:p>
    <w:p w14:paraId="78932AA3" w14:textId="31DFFBCE" w:rsidR="007F643A" w:rsidRPr="000A6B3C" w:rsidRDefault="007F643A" w:rsidP="007F643A">
      <w:pPr>
        <w:rPr>
          <w:rFonts w:eastAsiaTheme="minorEastAsia"/>
        </w:rPr>
      </w:pPr>
      <m:oMathPara>
        <m:oMath>
          <m:r>
            <w:rPr>
              <w:rFonts w:ascii="Cambria Math" w:hAnsi="Cambria Math"/>
            </w:rPr>
            <m:t>I=</m:t>
          </m:r>
          <m:f>
            <m:fPr>
              <m:ctrlPr>
                <w:rPr>
                  <w:rFonts w:ascii="Cambria Math" w:hAnsi="Cambria Math"/>
                  <w:i/>
                </w:rPr>
              </m:ctrlPr>
            </m:fPr>
            <m:num>
              <m:r>
                <w:rPr>
                  <w:rFonts w:ascii="Cambria Math" w:hAnsi="Cambria Math"/>
                </w:rPr>
                <m:t>L</m:t>
              </m:r>
            </m:num>
            <m:den>
              <m:r>
                <w:rPr>
                  <w:rFonts w:ascii="Cambria Math" w:hAnsi="Cambria Math"/>
                </w:rPr>
                <m:t>4π</m:t>
              </m:r>
              <m:sSup>
                <m:sSupPr>
                  <m:ctrlPr>
                    <w:rPr>
                      <w:rFonts w:ascii="Cambria Math" w:hAnsi="Cambria Math"/>
                      <w:i/>
                    </w:rPr>
                  </m:ctrlPr>
                </m:sSupPr>
                <m:e>
                  <m:r>
                    <w:rPr>
                      <w:rFonts w:ascii="Cambria Math" w:hAnsi="Cambria Math"/>
                    </w:rPr>
                    <m:t>r</m:t>
                  </m:r>
                </m:e>
                <m:sup>
                  <m:r>
                    <w:rPr>
                      <w:rFonts w:ascii="Cambria Math" w:hAnsi="Cambria Math"/>
                    </w:rPr>
                    <m:t>2</m:t>
                  </m:r>
                </m:sup>
              </m:sSup>
            </m:den>
          </m:f>
        </m:oMath>
      </m:oMathPara>
    </w:p>
    <w:p w14:paraId="261E5811" w14:textId="77777777" w:rsidR="000A6B3C" w:rsidRDefault="000A6B3C" w:rsidP="007F643A">
      <w:pPr>
        <w:rPr>
          <w:rFonts w:eastAsiaTheme="minorEastAsia"/>
        </w:rPr>
      </w:pPr>
    </w:p>
    <w:p w14:paraId="54D534E0" w14:textId="70C14B4A" w:rsidR="000A6B3C" w:rsidRDefault="000A6B3C" w:rsidP="007F643A">
      <w:r>
        <w:rPr>
          <w:rFonts w:eastAsiaTheme="minorEastAsia"/>
        </w:rPr>
        <w:t xml:space="preserve">If we substitute this in the previous equation, for both </w:t>
      </w:r>
      <w:proofErr w:type="gramStart"/>
      <w:r>
        <w:rPr>
          <w:rFonts w:eastAsiaTheme="minorEastAsia"/>
          <w:i/>
          <w:iCs/>
        </w:rPr>
        <w:t xml:space="preserve">I </w:t>
      </w:r>
      <w:r>
        <w:t xml:space="preserve"> and</w:t>
      </w:r>
      <w:proofErr w:type="gramEnd"/>
      <w:r>
        <w:rPr>
          <w:rFonts w:eastAsiaTheme="minorEastAsia"/>
        </w:rPr>
        <w:t xml:space="preserve"> </w:t>
      </w:r>
      <w:r>
        <w:rPr>
          <w:rFonts w:eastAsiaTheme="minorEastAsia"/>
          <w:i/>
          <w:iCs/>
        </w:rPr>
        <w:t>I</w:t>
      </w:r>
      <w:r>
        <w:rPr>
          <w:vertAlign w:val="subscript"/>
        </w:rPr>
        <w:t>10</w:t>
      </w:r>
      <w:r>
        <w:t>, the luminosity L cancels out as does the 4π and we’re just left with</w:t>
      </w:r>
    </w:p>
    <w:p w14:paraId="6501F8A5" w14:textId="17ACC5B5" w:rsidR="000A6B3C" w:rsidRDefault="000A6B3C" w:rsidP="007F643A"/>
    <w:p w14:paraId="5A297C94" w14:textId="52D15F44" w:rsidR="000A6B3C" w:rsidRPr="000A6B3C" w:rsidRDefault="00000000" w:rsidP="007F643A">
      <w:pPr>
        <w:rPr>
          <w:rFonts w:eastAsiaTheme="minorEastAsia"/>
        </w:rPr>
      </w:pPr>
      <m:oMathPara>
        <m:oMath>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r</m:t>
                      </m:r>
                    </m:num>
                    <m:den>
                      <m:r>
                        <w:rPr>
                          <w:rFonts w:ascii="Cambria Math" w:hAnsi="Cambria Math"/>
                        </w:rPr>
                        <m:t>10</m:t>
                      </m:r>
                    </m:den>
                  </m:f>
                </m:e>
              </m:d>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100</m:t>
              </m:r>
            </m:e>
            <m:sup>
              <m:d>
                <m:dPr>
                  <m:ctrlPr>
                    <w:rPr>
                      <w:rFonts w:ascii="Cambria Math" w:hAnsi="Cambria Math"/>
                      <w:i/>
                    </w:rPr>
                  </m:ctrlPr>
                </m:dPr>
                <m:e>
                  <m:f>
                    <m:fPr>
                      <m:ctrlPr>
                        <w:rPr>
                          <w:rFonts w:ascii="Cambria Math" w:hAnsi="Cambria Math"/>
                          <w:i/>
                        </w:rPr>
                      </m:ctrlPr>
                    </m:fPr>
                    <m:num>
                      <m:r>
                        <w:rPr>
                          <w:rFonts w:ascii="Cambria Math" w:hAnsi="Cambria Math"/>
                        </w:rPr>
                        <m:t>m-M</m:t>
                      </m:r>
                    </m:num>
                    <m:den>
                      <m:r>
                        <w:rPr>
                          <w:rFonts w:ascii="Cambria Math" w:hAnsi="Cambria Math"/>
                        </w:rPr>
                        <m:t>5</m:t>
                      </m:r>
                    </m:den>
                  </m:f>
                </m:e>
              </m:d>
            </m:sup>
          </m:sSup>
        </m:oMath>
      </m:oMathPara>
    </w:p>
    <w:p w14:paraId="45408D51" w14:textId="587A3F8E" w:rsidR="000A6B3C" w:rsidRDefault="000A6B3C" w:rsidP="007F643A">
      <w:pPr>
        <w:rPr>
          <w:rFonts w:eastAsiaTheme="minorEastAsia"/>
        </w:rPr>
      </w:pPr>
    </w:p>
    <w:p w14:paraId="64E51056" w14:textId="1BDD40C4" w:rsidR="000A6B3C" w:rsidRDefault="000A6B3C" w:rsidP="007F643A">
      <w:pPr>
        <w:rPr>
          <w:rFonts w:eastAsiaTheme="minorEastAsia"/>
        </w:rPr>
      </w:pPr>
      <w:r>
        <w:rPr>
          <w:rFonts w:eastAsiaTheme="minorEastAsia"/>
        </w:rPr>
        <w:t>taking the dreaded logarithm of both sides</w:t>
      </w:r>
    </w:p>
    <w:p w14:paraId="120A6C02" w14:textId="34DE432C" w:rsidR="000A6B3C" w:rsidRDefault="000A6B3C" w:rsidP="007F643A">
      <w:pPr>
        <w:rPr>
          <w:rFonts w:eastAsiaTheme="minorEastAsia"/>
        </w:rPr>
      </w:pPr>
    </w:p>
    <w:p w14:paraId="4DC3BC89" w14:textId="03DFD649" w:rsidR="000A6B3C" w:rsidRPr="000A6B3C" w:rsidRDefault="000A6B3C" w:rsidP="007F643A">
      <w:pPr>
        <w:rPr>
          <w:rFonts w:eastAsiaTheme="minorEastAsia"/>
        </w:rPr>
      </w:pPr>
      <m:oMathPara>
        <m:oMath>
          <m:r>
            <w:rPr>
              <w:rFonts w:ascii="Cambria Math" w:hAnsi="Cambria Math"/>
            </w:rPr>
            <m:t>5</m:t>
          </m:r>
          <m:sSub>
            <m:sSubPr>
              <m:ctrlPr>
                <w:rPr>
                  <w:rFonts w:ascii="Cambria Math" w:hAnsi="Cambria Math"/>
                  <w:i/>
                </w:rPr>
              </m:ctrlPr>
            </m:sSubPr>
            <m:e>
              <m:r>
                <w:rPr>
                  <w:rFonts w:ascii="Cambria Math" w:hAnsi="Cambria Math"/>
                </w:rPr>
                <m:t>log</m:t>
              </m:r>
            </m:e>
            <m:sub>
              <m:r>
                <w:rPr>
                  <w:rFonts w:ascii="Cambria Math" w:hAnsi="Cambria Math"/>
                </w:rPr>
                <m:t>10</m:t>
              </m:r>
            </m:sub>
          </m:sSub>
          <m:d>
            <m:dPr>
              <m:ctrlPr>
                <w:rPr>
                  <w:rFonts w:ascii="Cambria Math" w:hAnsi="Cambria Math"/>
                  <w:i/>
                </w:rPr>
              </m:ctrlPr>
            </m:dPr>
            <m:e>
              <m:f>
                <m:fPr>
                  <m:ctrlPr>
                    <w:rPr>
                      <w:rFonts w:ascii="Cambria Math" w:hAnsi="Cambria Math"/>
                      <w:i/>
                    </w:rPr>
                  </m:ctrlPr>
                </m:fPr>
                <m:num>
                  <m:r>
                    <w:rPr>
                      <w:rFonts w:ascii="Cambria Math" w:hAnsi="Cambria Math"/>
                    </w:rPr>
                    <m:t>r</m:t>
                  </m:r>
                </m:num>
                <m:den>
                  <m:r>
                    <w:rPr>
                      <w:rFonts w:ascii="Cambria Math" w:hAnsi="Cambria Math"/>
                    </w:rPr>
                    <m:t>10</m:t>
                  </m:r>
                </m:den>
              </m:f>
            </m:e>
          </m:d>
          <m:r>
            <w:rPr>
              <w:rFonts w:ascii="Cambria Math" w:hAnsi="Cambria Math"/>
            </w:rPr>
            <m:t>=m-M</m:t>
          </m:r>
        </m:oMath>
      </m:oMathPara>
    </w:p>
    <w:p w14:paraId="3D2C5003" w14:textId="68066458" w:rsidR="000A6B3C" w:rsidRDefault="000A6B3C" w:rsidP="007F643A">
      <w:pPr>
        <w:rPr>
          <w:rFonts w:eastAsiaTheme="minorEastAsia"/>
        </w:rPr>
      </w:pPr>
    </w:p>
    <w:p w14:paraId="58447B54" w14:textId="03B94C13" w:rsidR="000A6B3C" w:rsidRDefault="000A6B3C" w:rsidP="007F643A">
      <w:r>
        <w:rPr>
          <w:rFonts w:eastAsiaTheme="minorEastAsia"/>
        </w:rPr>
        <w:t xml:space="preserve">And our goal was to find absolute magnitude </w:t>
      </w:r>
      <w:r>
        <w:rPr>
          <w:rFonts w:eastAsiaTheme="minorEastAsia"/>
          <w:i/>
          <w:iCs/>
        </w:rPr>
        <w:t>M</w:t>
      </w:r>
      <w:r>
        <w:t xml:space="preserve"> so</w:t>
      </w:r>
      <w:r w:rsidR="00B33EB1">
        <w:t xml:space="preserve"> solve for it:</w:t>
      </w:r>
    </w:p>
    <w:p w14:paraId="314DF49C" w14:textId="16ADD4D9" w:rsidR="000A6B3C" w:rsidRDefault="000A6B3C" w:rsidP="007F643A"/>
    <w:p w14:paraId="25CB49F2" w14:textId="3F6D1445" w:rsidR="000A6B3C" w:rsidRPr="000A6B3C" w:rsidRDefault="000A6B3C" w:rsidP="007F643A">
      <w:pPr>
        <w:rPr>
          <w:rFonts w:eastAsiaTheme="minorEastAsia"/>
          <w:color w:val="FF0000"/>
        </w:rPr>
      </w:pPr>
      <m:oMathPara>
        <m:oMath>
          <m:r>
            <w:rPr>
              <w:rFonts w:ascii="Cambria Math" w:hAnsi="Cambria Math"/>
              <w:color w:val="FF0000"/>
            </w:rPr>
            <m:t>M=m-5</m:t>
          </m:r>
          <m:sSub>
            <m:sSubPr>
              <m:ctrlPr>
                <w:rPr>
                  <w:rFonts w:ascii="Cambria Math" w:hAnsi="Cambria Math"/>
                  <w:i/>
                  <w:color w:val="FF0000"/>
                </w:rPr>
              </m:ctrlPr>
            </m:sSubPr>
            <m:e>
              <m:r>
                <w:rPr>
                  <w:rFonts w:ascii="Cambria Math" w:hAnsi="Cambria Math"/>
                  <w:color w:val="FF0000"/>
                </w:rPr>
                <m:t>log</m:t>
              </m:r>
            </m:e>
            <m:sub>
              <m:r>
                <w:rPr>
                  <w:rFonts w:ascii="Cambria Math" w:hAnsi="Cambria Math"/>
                  <w:color w:val="FF0000"/>
                </w:rPr>
                <m:t>10</m:t>
              </m:r>
            </m:sub>
          </m:sSub>
          <m:d>
            <m:dPr>
              <m:ctrlPr>
                <w:rPr>
                  <w:rFonts w:ascii="Cambria Math" w:hAnsi="Cambria Math"/>
                  <w:i/>
                  <w:color w:val="FF0000"/>
                </w:rPr>
              </m:ctrlPr>
            </m:dPr>
            <m:e>
              <m:f>
                <m:fPr>
                  <m:ctrlPr>
                    <w:rPr>
                      <w:rFonts w:ascii="Cambria Math" w:hAnsi="Cambria Math"/>
                      <w:i/>
                      <w:color w:val="FF0000"/>
                    </w:rPr>
                  </m:ctrlPr>
                </m:fPr>
                <m:num>
                  <m:r>
                    <w:rPr>
                      <w:rFonts w:ascii="Cambria Math" w:hAnsi="Cambria Math"/>
                      <w:color w:val="FF0000"/>
                    </w:rPr>
                    <m:t>r</m:t>
                  </m:r>
                </m:num>
                <m:den>
                  <m:r>
                    <w:rPr>
                      <w:rFonts w:ascii="Cambria Math" w:hAnsi="Cambria Math"/>
                      <w:color w:val="FF0000"/>
                    </w:rPr>
                    <m:t>10</m:t>
                  </m:r>
                </m:den>
              </m:f>
            </m:e>
          </m:d>
        </m:oMath>
      </m:oMathPara>
    </w:p>
    <w:p w14:paraId="56AF65FE" w14:textId="21E8B3B1" w:rsidR="000A6B3C" w:rsidRPr="000A6B3C" w:rsidRDefault="000A6B3C" w:rsidP="007F643A">
      <w:pPr>
        <w:rPr>
          <w:rFonts w:eastAsiaTheme="minorEastAsia"/>
          <w:color w:val="FF0000"/>
        </w:rPr>
      </w:pPr>
    </w:p>
    <w:p w14:paraId="158C8682" w14:textId="372DABF7" w:rsidR="00056E79" w:rsidRDefault="000A6B3C">
      <w:r>
        <w:t xml:space="preserve">And there you have it. Knowing the distance </w:t>
      </w:r>
      <w:r>
        <w:rPr>
          <w:i/>
          <w:iCs/>
        </w:rPr>
        <w:t>r</w:t>
      </w:r>
      <w:r>
        <w:t xml:space="preserve"> in parsecs and the visual magnitude </w:t>
      </w:r>
      <w:r>
        <w:rPr>
          <w:i/>
          <w:iCs/>
        </w:rPr>
        <w:t>m</w:t>
      </w:r>
      <w:r>
        <w:t xml:space="preserve">, </w:t>
      </w:r>
      <w:r w:rsidR="00056E79">
        <w:t>we can work out the absolute magnitude.</w:t>
      </w:r>
    </w:p>
    <w:p w14:paraId="7E654A08" w14:textId="77777777" w:rsidR="008A2975" w:rsidRDefault="008A2975"/>
    <w:p w14:paraId="527BD56E" w14:textId="1171C90C" w:rsidR="00056E79" w:rsidRDefault="009E6DC8" w:rsidP="00B33EB1">
      <w:pPr>
        <w:ind w:left="720"/>
      </w:pPr>
      <w:r>
        <w:t>1</w:t>
      </w:r>
      <w:r w:rsidR="00B33EB1">
        <w:t xml:space="preserve">. </w:t>
      </w:r>
      <w:r w:rsidR="00056E79">
        <w:t>Let’s apply this to the stars from the previous table.</w:t>
      </w:r>
    </w:p>
    <w:p w14:paraId="0DD906EB" w14:textId="59EB1E64" w:rsidR="00056E79" w:rsidRDefault="00056E79" w:rsidP="005D506B"/>
    <w:tbl>
      <w:tblPr>
        <w:tblStyle w:val="TableGrid"/>
        <w:tblW w:w="0" w:type="auto"/>
        <w:jc w:val="center"/>
        <w:tblLook w:val="04A0" w:firstRow="1" w:lastRow="0" w:firstColumn="1" w:lastColumn="0" w:noHBand="0" w:noVBand="1"/>
      </w:tblPr>
      <w:tblGrid>
        <w:gridCol w:w="1558"/>
        <w:gridCol w:w="1558"/>
        <w:gridCol w:w="1558"/>
        <w:gridCol w:w="1558"/>
        <w:gridCol w:w="1559"/>
      </w:tblGrid>
      <w:tr w:rsidR="00056E79" w:rsidRPr="005D506B" w14:paraId="4D27E9F0" w14:textId="77777777" w:rsidTr="00056E79">
        <w:trPr>
          <w:jc w:val="center"/>
        </w:trPr>
        <w:tc>
          <w:tcPr>
            <w:tcW w:w="1558" w:type="dxa"/>
          </w:tcPr>
          <w:p w14:paraId="2804E02A" w14:textId="77777777" w:rsidR="00056E79" w:rsidRPr="005D506B" w:rsidRDefault="00056E79" w:rsidP="00A7276B">
            <w:pPr>
              <w:jc w:val="center"/>
              <w:rPr>
                <w:b/>
                <w:bCs/>
              </w:rPr>
            </w:pPr>
            <w:r w:rsidRPr="005D506B">
              <w:rPr>
                <w:b/>
                <w:bCs/>
              </w:rPr>
              <w:t>RA</w:t>
            </w:r>
          </w:p>
        </w:tc>
        <w:tc>
          <w:tcPr>
            <w:tcW w:w="1558" w:type="dxa"/>
          </w:tcPr>
          <w:p w14:paraId="5E186ED7" w14:textId="77777777" w:rsidR="00056E79" w:rsidRPr="005D506B" w:rsidRDefault="00056E79" w:rsidP="00A7276B">
            <w:pPr>
              <w:jc w:val="center"/>
              <w:rPr>
                <w:b/>
                <w:bCs/>
              </w:rPr>
            </w:pPr>
            <w:r w:rsidRPr="005D506B">
              <w:rPr>
                <w:b/>
                <w:bCs/>
              </w:rPr>
              <w:t>Dec</w:t>
            </w:r>
          </w:p>
        </w:tc>
        <w:tc>
          <w:tcPr>
            <w:tcW w:w="1558" w:type="dxa"/>
          </w:tcPr>
          <w:p w14:paraId="6A612829" w14:textId="2AE80D86" w:rsidR="00056E79" w:rsidRPr="005D506B" w:rsidRDefault="00056E79" w:rsidP="00A7276B">
            <w:pPr>
              <w:jc w:val="center"/>
              <w:rPr>
                <w:b/>
                <w:bCs/>
              </w:rPr>
            </w:pPr>
            <w:r w:rsidRPr="005D506B">
              <w:rPr>
                <w:b/>
                <w:bCs/>
              </w:rPr>
              <w:t>Visual Magnitude</w:t>
            </w:r>
          </w:p>
        </w:tc>
        <w:tc>
          <w:tcPr>
            <w:tcW w:w="1558" w:type="dxa"/>
          </w:tcPr>
          <w:p w14:paraId="2C4EA8FA" w14:textId="6ADA236A" w:rsidR="00056E79" w:rsidRPr="005D506B" w:rsidRDefault="00056E79" w:rsidP="00A7276B">
            <w:pPr>
              <w:jc w:val="center"/>
              <w:rPr>
                <w:b/>
                <w:bCs/>
              </w:rPr>
            </w:pPr>
            <w:r>
              <w:rPr>
                <w:b/>
                <w:bCs/>
              </w:rPr>
              <w:t>Distance (pc)</w:t>
            </w:r>
          </w:p>
        </w:tc>
        <w:tc>
          <w:tcPr>
            <w:tcW w:w="1559" w:type="dxa"/>
          </w:tcPr>
          <w:p w14:paraId="60B550DD" w14:textId="2E695DB7" w:rsidR="00056E79" w:rsidRPr="005D506B" w:rsidRDefault="00056E79" w:rsidP="00A7276B">
            <w:pPr>
              <w:jc w:val="center"/>
              <w:rPr>
                <w:b/>
                <w:bCs/>
              </w:rPr>
            </w:pPr>
            <w:r>
              <w:rPr>
                <w:b/>
                <w:bCs/>
              </w:rPr>
              <w:t>Absolute magnitude</w:t>
            </w:r>
          </w:p>
        </w:tc>
      </w:tr>
      <w:tr w:rsidR="00056E79" w14:paraId="7106E5C0" w14:textId="77777777" w:rsidTr="00056E79">
        <w:trPr>
          <w:jc w:val="center"/>
        </w:trPr>
        <w:tc>
          <w:tcPr>
            <w:tcW w:w="1558" w:type="dxa"/>
          </w:tcPr>
          <w:p w14:paraId="0F4669D1" w14:textId="77777777" w:rsidR="00056E79" w:rsidRDefault="00056E79" w:rsidP="00A7276B">
            <w:r>
              <w:t>100.521</w:t>
            </w:r>
          </w:p>
        </w:tc>
        <w:tc>
          <w:tcPr>
            <w:tcW w:w="1558" w:type="dxa"/>
          </w:tcPr>
          <w:p w14:paraId="1B56314C" w14:textId="77777777" w:rsidR="00056E79" w:rsidRDefault="00056E79" w:rsidP="00A7276B">
            <w:r>
              <w:t>-15.209</w:t>
            </w:r>
          </w:p>
        </w:tc>
        <w:tc>
          <w:tcPr>
            <w:tcW w:w="1558" w:type="dxa"/>
          </w:tcPr>
          <w:p w14:paraId="54ADF731" w14:textId="77777777" w:rsidR="00056E79" w:rsidRDefault="00056E79" w:rsidP="00A7276B"/>
        </w:tc>
        <w:tc>
          <w:tcPr>
            <w:tcW w:w="1558" w:type="dxa"/>
          </w:tcPr>
          <w:p w14:paraId="30F0F0B0" w14:textId="77777777" w:rsidR="00056E79" w:rsidRDefault="00056E79" w:rsidP="00A7276B"/>
        </w:tc>
        <w:tc>
          <w:tcPr>
            <w:tcW w:w="1559" w:type="dxa"/>
          </w:tcPr>
          <w:p w14:paraId="264E5A45" w14:textId="77777777" w:rsidR="00056E79" w:rsidRDefault="00056E79" w:rsidP="00A7276B"/>
        </w:tc>
      </w:tr>
      <w:tr w:rsidR="00056E79" w14:paraId="6AAF0F57" w14:textId="77777777" w:rsidTr="00056E79">
        <w:trPr>
          <w:jc w:val="center"/>
        </w:trPr>
        <w:tc>
          <w:tcPr>
            <w:tcW w:w="1558" w:type="dxa"/>
          </w:tcPr>
          <w:p w14:paraId="30A8EA84" w14:textId="77777777" w:rsidR="00056E79" w:rsidRDefault="00056E79" w:rsidP="00A7276B">
            <w:r>
              <w:t>99.648</w:t>
            </w:r>
          </w:p>
        </w:tc>
        <w:tc>
          <w:tcPr>
            <w:tcW w:w="1558" w:type="dxa"/>
          </w:tcPr>
          <w:p w14:paraId="5B3995DB" w14:textId="77777777" w:rsidR="00056E79" w:rsidRDefault="00056E79" w:rsidP="00A7276B">
            <w:r>
              <w:t>-16.874</w:t>
            </w:r>
          </w:p>
        </w:tc>
        <w:tc>
          <w:tcPr>
            <w:tcW w:w="1558" w:type="dxa"/>
          </w:tcPr>
          <w:p w14:paraId="4B36CC79" w14:textId="77777777" w:rsidR="00056E79" w:rsidRDefault="00056E79" w:rsidP="00A7276B"/>
        </w:tc>
        <w:tc>
          <w:tcPr>
            <w:tcW w:w="1558" w:type="dxa"/>
          </w:tcPr>
          <w:p w14:paraId="104F169A" w14:textId="77777777" w:rsidR="00056E79" w:rsidRDefault="00056E79" w:rsidP="00A7276B"/>
        </w:tc>
        <w:tc>
          <w:tcPr>
            <w:tcW w:w="1559" w:type="dxa"/>
          </w:tcPr>
          <w:p w14:paraId="4522C0DA" w14:textId="77777777" w:rsidR="00056E79" w:rsidRDefault="00056E79" w:rsidP="00A7276B"/>
        </w:tc>
      </w:tr>
      <w:tr w:rsidR="00056E79" w14:paraId="25E1719D" w14:textId="77777777" w:rsidTr="00056E79">
        <w:trPr>
          <w:jc w:val="center"/>
        </w:trPr>
        <w:tc>
          <w:tcPr>
            <w:tcW w:w="1558" w:type="dxa"/>
          </w:tcPr>
          <w:p w14:paraId="58EC5A57" w14:textId="77777777" w:rsidR="00056E79" w:rsidRDefault="00056E79" w:rsidP="00A7276B">
            <w:r>
              <w:t>100.392</w:t>
            </w:r>
          </w:p>
        </w:tc>
        <w:tc>
          <w:tcPr>
            <w:tcW w:w="1558" w:type="dxa"/>
          </w:tcPr>
          <w:p w14:paraId="7E529E5C" w14:textId="77777777" w:rsidR="00056E79" w:rsidRDefault="00056E79" w:rsidP="00A7276B">
            <w:r>
              <w:t>-17.534</w:t>
            </w:r>
          </w:p>
        </w:tc>
        <w:tc>
          <w:tcPr>
            <w:tcW w:w="1558" w:type="dxa"/>
          </w:tcPr>
          <w:p w14:paraId="429218B2" w14:textId="77777777" w:rsidR="00056E79" w:rsidRDefault="00056E79" w:rsidP="00A7276B"/>
        </w:tc>
        <w:tc>
          <w:tcPr>
            <w:tcW w:w="1558" w:type="dxa"/>
          </w:tcPr>
          <w:p w14:paraId="79CA4671" w14:textId="77777777" w:rsidR="00056E79" w:rsidRDefault="00056E79" w:rsidP="00A7276B"/>
        </w:tc>
        <w:tc>
          <w:tcPr>
            <w:tcW w:w="1559" w:type="dxa"/>
          </w:tcPr>
          <w:p w14:paraId="5FFD5ED3" w14:textId="77777777" w:rsidR="00056E79" w:rsidRDefault="00056E79" w:rsidP="00A7276B"/>
        </w:tc>
      </w:tr>
      <w:tr w:rsidR="00056E79" w14:paraId="58C63B66" w14:textId="77777777" w:rsidTr="00056E79">
        <w:trPr>
          <w:jc w:val="center"/>
        </w:trPr>
        <w:tc>
          <w:tcPr>
            <w:tcW w:w="1558" w:type="dxa"/>
          </w:tcPr>
          <w:p w14:paraId="54D06A20" w14:textId="77777777" w:rsidR="00056E79" w:rsidRDefault="00056E79" w:rsidP="00A7276B">
            <w:r>
              <w:t>102.203</w:t>
            </w:r>
          </w:p>
        </w:tc>
        <w:tc>
          <w:tcPr>
            <w:tcW w:w="1558" w:type="dxa"/>
          </w:tcPr>
          <w:p w14:paraId="5A844283" w14:textId="77777777" w:rsidR="00056E79" w:rsidRDefault="00056E79" w:rsidP="00A7276B">
            <w:r>
              <w:t>-16.211</w:t>
            </w:r>
          </w:p>
        </w:tc>
        <w:tc>
          <w:tcPr>
            <w:tcW w:w="1558" w:type="dxa"/>
          </w:tcPr>
          <w:p w14:paraId="1EF88338" w14:textId="77777777" w:rsidR="00056E79" w:rsidRDefault="00056E79" w:rsidP="00A7276B"/>
        </w:tc>
        <w:tc>
          <w:tcPr>
            <w:tcW w:w="1558" w:type="dxa"/>
          </w:tcPr>
          <w:p w14:paraId="3ECEB6D6" w14:textId="77777777" w:rsidR="00056E79" w:rsidRDefault="00056E79" w:rsidP="00A7276B"/>
        </w:tc>
        <w:tc>
          <w:tcPr>
            <w:tcW w:w="1559" w:type="dxa"/>
          </w:tcPr>
          <w:p w14:paraId="1B491220" w14:textId="77777777" w:rsidR="00056E79" w:rsidRDefault="00056E79" w:rsidP="00A7276B"/>
        </w:tc>
      </w:tr>
    </w:tbl>
    <w:p w14:paraId="2BF9C4EF" w14:textId="4054C0F3" w:rsidR="00056E79" w:rsidRDefault="00056E79" w:rsidP="005D506B"/>
    <w:p w14:paraId="0E7AFFD9" w14:textId="4F780187" w:rsidR="00056E79" w:rsidRDefault="00056E79" w:rsidP="00056E79">
      <w:pPr>
        <w:jc w:val="center"/>
        <w:rPr>
          <w:b/>
          <w:bCs/>
          <w:i/>
          <w:iCs/>
          <w:color w:val="FF0000"/>
          <w:sz w:val="36"/>
          <w:szCs w:val="36"/>
        </w:rPr>
      </w:pPr>
      <w:r w:rsidRPr="00056E79">
        <w:rPr>
          <w:b/>
          <w:bCs/>
          <w:i/>
          <w:iCs/>
          <w:color w:val="FF0000"/>
          <w:sz w:val="36"/>
          <w:szCs w:val="36"/>
        </w:rPr>
        <w:t>Check your results with your instructor before proceeding</w:t>
      </w:r>
    </w:p>
    <w:p w14:paraId="49DF8A75" w14:textId="657C148B" w:rsidR="00056E79" w:rsidRDefault="00056E79" w:rsidP="00056E79">
      <w:pPr>
        <w:jc w:val="center"/>
        <w:rPr>
          <w:color w:val="000000" w:themeColor="text1"/>
        </w:rPr>
      </w:pPr>
    </w:p>
    <w:p w14:paraId="642CF9FA" w14:textId="6D28EB5E" w:rsidR="00056E79" w:rsidRDefault="00B33EB1" w:rsidP="00056E79">
      <w:pPr>
        <w:pStyle w:val="Heading2"/>
      </w:pPr>
      <w:r>
        <w:t>D</w:t>
      </w:r>
      <w:r w:rsidR="00056E79">
        <w:t>. The Pleiades</w:t>
      </w:r>
    </w:p>
    <w:p w14:paraId="076BA290" w14:textId="47482B74" w:rsidR="00056E79" w:rsidRDefault="00056E79" w:rsidP="00056E79"/>
    <w:p w14:paraId="36B7E35F" w14:textId="5F69A91E" w:rsidR="00056E79" w:rsidRDefault="00056E79" w:rsidP="00056E79">
      <w:r>
        <w:t>The center of the Pleiades is at RA = 56.85</w:t>
      </w:r>
      <w:r>
        <w:rPr>
          <w:vertAlign w:val="superscript"/>
        </w:rPr>
        <w:t>o</w:t>
      </w:r>
      <w:r>
        <w:t xml:space="preserve"> and Dec = 24.1167</w:t>
      </w:r>
      <w:r>
        <w:rPr>
          <w:vertAlign w:val="superscript"/>
        </w:rPr>
        <w:t>o</w:t>
      </w:r>
      <w:r>
        <w:t xml:space="preserve">. The Pleiades is almost 2 degrees wide, so you can set the width to 2. Hipparcos didn’t take a whole lot of data </w:t>
      </w:r>
      <w:proofErr w:type="gramStart"/>
      <w:r>
        <w:t>here</w:t>
      </w:r>
      <w:proofErr w:type="gramEnd"/>
      <w:r>
        <w:t xml:space="preserve"> so we’ll have to use the Tycho data as well. Check the box for that and click View.</w:t>
      </w:r>
    </w:p>
    <w:p w14:paraId="7389D171" w14:textId="0934CB53" w:rsidR="00056E79" w:rsidRDefault="00056E79" w:rsidP="00056E79"/>
    <w:p w14:paraId="4968D896" w14:textId="002EDF2B" w:rsidR="00056E79" w:rsidRDefault="00CA2BFC" w:rsidP="00056E79">
      <w:r>
        <w:t>You should see something like this.</w:t>
      </w:r>
    </w:p>
    <w:p w14:paraId="213436C9" w14:textId="6B267F68" w:rsidR="00CA2BFC" w:rsidRDefault="00CA2BFC" w:rsidP="00056E79"/>
    <w:p w14:paraId="3EF29E76" w14:textId="1D7FCD4C" w:rsidR="00CA2BFC" w:rsidRDefault="00F80780" w:rsidP="00F80780">
      <w:pPr>
        <w:jc w:val="center"/>
      </w:pPr>
      <w:r>
        <w:rPr>
          <w:noProof/>
        </w:rPr>
        <w:lastRenderedPageBreak/>
        <w:drawing>
          <wp:inline distT="0" distB="0" distL="0" distR="0" wp14:anchorId="4AF3AF68" wp14:editId="3F81192E">
            <wp:extent cx="5817039" cy="5005388"/>
            <wp:effectExtent l="0" t="0" r="0" b="5080"/>
            <wp:docPr id="3" name="Picture 3" descr="Example of Hipparcos data around the Pleia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Example of Hipparcos data around the Pleiades"/>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821330" cy="5009081"/>
                    </a:xfrm>
                    <a:prstGeom prst="rect">
                      <a:avLst/>
                    </a:prstGeom>
                  </pic:spPr>
                </pic:pic>
              </a:graphicData>
            </a:graphic>
          </wp:inline>
        </w:drawing>
      </w:r>
    </w:p>
    <w:p w14:paraId="7C48D63C" w14:textId="3CD3B793" w:rsidR="00CA2BFC" w:rsidRDefault="00CA2BFC" w:rsidP="00056E79"/>
    <w:p w14:paraId="118A4638" w14:textId="6463AD97" w:rsidR="00CA2BFC" w:rsidRDefault="00B33EB1" w:rsidP="00B33EB1">
      <w:pPr>
        <w:ind w:left="720"/>
      </w:pPr>
      <w:r>
        <w:t xml:space="preserve">1. Each member of your group should collect data on 10 </w:t>
      </w:r>
      <w:r>
        <w:rPr>
          <w:i/>
          <w:iCs/>
        </w:rPr>
        <w:t>different</w:t>
      </w:r>
      <w:r>
        <w:t xml:space="preserve"> stars in this field. Remember, you need visual magnitude, parallax and color index. </w:t>
      </w:r>
    </w:p>
    <w:p w14:paraId="0845A787" w14:textId="77777777" w:rsidR="00B33EB1" w:rsidRDefault="00B33EB1" w:rsidP="00B33EB1">
      <w:pPr>
        <w:ind w:left="720"/>
      </w:pPr>
    </w:p>
    <w:p w14:paraId="5E7A4892" w14:textId="77777777" w:rsidR="00B33EB1" w:rsidRDefault="00B33EB1" w:rsidP="00B33EB1">
      <w:pPr>
        <w:ind w:left="720"/>
      </w:pPr>
    </w:p>
    <w:p w14:paraId="4F7AF667" w14:textId="77777777" w:rsidR="00B33EB1" w:rsidRDefault="00B33EB1" w:rsidP="00B33EB1">
      <w:pPr>
        <w:ind w:left="720"/>
      </w:pPr>
    </w:p>
    <w:p w14:paraId="63D7788E" w14:textId="77777777" w:rsidR="00B33EB1" w:rsidRDefault="00B33EB1" w:rsidP="00B33EB1">
      <w:pPr>
        <w:ind w:left="720"/>
      </w:pPr>
    </w:p>
    <w:p w14:paraId="0B222EC0" w14:textId="77777777" w:rsidR="00B33EB1" w:rsidRDefault="00B33EB1" w:rsidP="00B33EB1">
      <w:pPr>
        <w:ind w:left="720"/>
      </w:pPr>
    </w:p>
    <w:p w14:paraId="3B27B70A" w14:textId="77777777" w:rsidR="00B33EB1" w:rsidRDefault="00B33EB1" w:rsidP="00B33EB1">
      <w:pPr>
        <w:ind w:left="720"/>
      </w:pPr>
    </w:p>
    <w:p w14:paraId="5B2316AA" w14:textId="7DFA41DF" w:rsidR="00B33EB1" w:rsidRDefault="00B33EB1" w:rsidP="00B33EB1">
      <w:pPr>
        <w:ind w:left="720"/>
      </w:pPr>
      <w:r>
        <w:t>2. Assemble all your group’s data in a spreadsheet and do the distance and absolute magnitude calculations. What do you notice in your data? In Excel, the command for doing a log of something is =LOG10(something).</w:t>
      </w:r>
    </w:p>
    <w:p w14:paraId="6DEB4A1A" w14:textId="77777777" w:rsidR="00B33EB1" w:rsidRDefault="00B33EB1" w:rsidP="00B33EB1">
      <w:pPr>
        <w:ind w:left="720"/>
      </w:pPr>
    </w:p>
    <w:p w14:paraId="27BDAA0F" w14:textId="77777777" w:rsidR="00B33EB1" w:rsidRDefault="00B33EB1" w:rsidP="00B33EB1">
      <w:pPr>
        <w:ind w:left="720"/>
      </w:pPr>
    </w:p>
    <w:p w14:paraId="3B27150B" w14:textId="77777777" w:rsidR="00B33EB1" w:rsidRDefault="00B33EB1" w:rsidP="00B33EB1">
      <w:pPr>
        <w:ind w:left="720"/>
      </w:pPr>
    </w:p>
    <w:p w14:paraId="0A7EE5D1" w14:textId="77777777" w:rsidR="00B33EB1" w:rsidRDefault="00B33EB1" w:rsidP="00B33EB1">
      <w:pPr>
        <w:ind w:left="720"/>
      </w:pPr>
    </w:p>
    <w:p w14:paraId="4DC6B9D8" w14:textId="77777777" w:rsidR="00B33EB1" w:rsidRDefault="00B33EB1" w:rsidP="00B33EB1">
      <w:pPr>
        <w:ind w:left="720"/>
      </w:pPr>
    </w:p>
    <w:p w14:paraId="42E16269" w14:textId="77777777" w:rsidR="00B33EB1" w:rsidRDefault="00B33EB1" w:rsidP="00B33EB1">
      <w:pPr>
        <w:ind w:left="720"/>
      </w:pPr>
    </w:p>
    <w:p w14:paraId="377BB9CF" w14:textId="04C4A01C" w:rsidR="00B33EB1" w:rsidRDefault="00B33EB1" w:rsidP="00B33EB1">
      <w:pPr>
        <w:ind w:left="720"/>
      </w:pPr>
      <w:r>
        <w:t>3. The spreadsheet HIP.csv contains a larger sample of data. Try doing the same thing for it. Again, what do you notice in the results?</w:t>
      </w:r>
    </w:p>
    <w:p w14:paraId="7FBCFE01" w14:textId="77777777" w:rsidR="00B33EB1" w:rsidRDefault="00B33EB1" w:rsidP="00B33EB1">
      <w:pPr>
        <w:ind w:left="720"/>
      </w:pPr>
    </w:p>
    <w:p w14:paraId="38963B7E" w14:textId="77777777" w:rsidR="00B33EB1" w:rsidRDefault="00B33EB1" w:rsidP="00B33EB1">
      <w:pPr>
        <w:ind w:left="720"/>
      </w:pPr>
    </w:p>
    <w:p w14:paraId="04A6609A" w14:textId="77777777" w:rsidR="00B33EB1" w:rsidRDefault="00B33EB1" w:rsidP="00B33EB1">
      <w:pPr>
        <w:ind w:left="720"/>
      </w:pPr>
    </w:p>
    <w:p w14:paraId="64D3CD20" w14:textId="77777777" w:rsidR="00B33EB1" w:rsidRDefault="00B33EB1" w:rsidP="00B33EB1">
      <w:pPr>
        <w:ind w:left="720"/>
      </w:pPr>
    </w:p>
    <w:p w14:paraId="0D1770F9" w14:textId="77777777" w:rsidR="00B33EB1" w:rsidRDefault="00B33EB1" w:rsidP="00B33EB1">
      <w:pPr>
        <w:ind w:left="720"/>
      </w:pPr>
    </w:p>
    <w:p w14:paraId="3D55059F" w14:textId="77777777" w:rsidR="00B33EB1" w:rsidRDefault="00B33EB1" w:rsidP="00B33EB1">
      <w:pPr>
        <w:ind w:left="720"/>
      </w:pPr>
    </w:p>
    <w:p w14:paraId="0E4F25E0" w14:textId="275B39F4" w:rsidR="00B33EB1" w:rsidRDefault="00B33EB1" w:rsidP="00B33EB1">
      <w:pPr>
        <w:ind w:left="720"/>
      </w:pPr>
      <w:r>
        <w:t>4. You should see some negative parallax angles in the data. How did this affect your calculations?</w:t>
      </w:r>
    </w:p>
    <w:p w14:paraId="0CA877BA" w14:textId="77777777" w:rsidR="00B33EB1" w:rsidRDefault="00B33EB1" w:rsidP="00B33EB1">
      <w:pPr>
        <w:ind w:left="720"/>
      </w:pPr>
    </w:p>
    <w:p w14:paraId="169F00F7" w14:textId="77777777" w:rsidR="00B33EB1" w:rsidRDefault="00B33EB1" w:rsidP="00B33EB1">
      <w:pPr>
        <w:ind w:left="720"/>
      </w:pPr>
    </w:p>
    <w:p w14:paraId="07584D90" w14:textId="77777777" w:rsidR="00B33EB1" w:rsidRDefault="00B33EB1" w:rsidP="00B33EB1">
      <w:pPr>
        <w:ind w:left="720"/>
      </w:pPr>
    </w:p>
    <w:p w14:paraId="74426378" w14:textId="77777777" w:rsidR="00B33EB1" w:rsidRDefault="00B33EB1" w:rsidP="00B33EB1">
      <w:pPr>
        <w:ind w:left="720"/>
      </w:pPr>
    </w:p>
    <w:p w14:paraId="32E03C28" w14:textId="77777777" w:rsidR="00B33EB1" w:rsidRDefault="00B33EB1" w:rsidP="00B33EB1">
      <w:pPr>
        <w:ind w:left="720"/>
      </w:pPr>
    </w:p>
    <w:p w14:paraId="1866C4A7" w14:textId="77777777" w:rsidR="00B33EB1" w:rsidRDefault="00B33EB1" w:rsidP="00B33EB1">
      <w:pPr>
        <w:ind w:left="720"/>
      </w:pPr>
    </w:p>
    <w:p w14:paraId="5522CEF9" w14:textId="5F70960F" w:rsidR="00B33EB1" w:rsidRDefault="00B33EB1" w:rsidP="00B33EB1">
      <w:pPr>
        <w:ind w:left="720"/>
      </w:pPr>
      <w:r>
        <w:t xml:space="preserve">5. There are at least two major reasons why negative </w:t>
      </w:r>
      <w:r>
        <w:rPr>
          <w:i/>
          <w:iCs/>
        </w:rPr>
        <w:t xml:space="preserve">measured </w:t>
      </w:r>
      <w:r>
        <w:t>angles could be negative. See if you can come up with one of them.</w:t>
      </w:r>
    </w:p>
    <w:p w14:paraId="25F7BD59" w14:textId="77777777" w:rsidR="00B33EB1" w:rsidRDefault="00B33EB1" w:rsidP="00B33EB1">
      <w:pPr>
        <w:ind w:left="720"/>
      </w:pPr>
    </w:p>
    <w:p w14:paraId="0ED1C986" w14:textId="77777777" w:rsidR="00B33EB1" w:rsidRDefault="00B33EB1" w:rsidP="00B33EB1">
      <w:pPr>
        <w:ind w:left="720"/>
      </w:pPr>
    </w:p>
    <w:p w14:paraId="4ED8886D" w14:textId="77777777" w:rsidR="00B33EB1" w:rsidRDefault="00B33EB1" w:rsidP="00B33EB1">
      <w:pPr>
        <w:ind w:left="720"/>
      </w:pPr>
    </w:p>
    <w:p w14:paraId="08165E9A" w14:textId="77777777" w:rsidR="00B33EB1" w:rsidRDefault="00B33EB1" w:rsidP="00B33EB1">
      <w:pPr>
        <w:ind w:left="720"/>
      </w:pPr>
    </w:p>
    <w:p w14:paraId="4614D479" w14:textId="77777777" w:rsidR="00B33EB1" w:rsidRDefault="00B33EB1" w:rsidP="00B33EB1">
      <w:pPr>
        <w:ind w:left="720"/>
      </w:pPr>
    </w:p>
    <w:p w14:paraId="218F756D" w14:textId="77777777" w:rsidR="00B33EB1" w:rsidRDefault="00B33EB1" w:rsidP="00B33EB1">
      <w:pPr>
        <w:ind w:left="720"/>
      </w:pPr>
    </w:p>
    <w:p w14:paraId="5331FE59" w14:textId="67706223" w:rsidR="00B33EB1" w:rsidRDefault="00B33EB1" w:rsidP="00B33EB1">
      <w:pPr>
        <w:ind w:left="720"/>
      </w:pPr>
      <w:r>
        <w:t xml:space="preserve">6. Do you think </w:t>
      </w:r>
      <w:proofErr w:type="gramStart"/>
      <w:r>
        <w:t>all of</w:t>
      </w:r>
      <w:proofErr w:type="gramEnd"/>
      <w:r>
        <w:t xml:space="preserve"> the stars in </w:t>
      </w:r>
      <w:r w:rsidR="00313296">
        <w:t>these</w:t>
      </w:r>
      <w:r>
        <w:t xml:space="preserve"> spreadsheets are </w:t>
      </w:r>
      <w:proofErr w:type="gramStart"/>
      <w:r>
        <w:t>actually members</w:t>
      </w:r>
      <w:proofErr w:type="gramEnd"/>
      <w:r>
        <w:t xml:space="preserve"> of the Pleiades cluster? Explain your reasoning.</w:t>
      </w:r>
    </w:p>
    <w:p w14:paraId="244A673A" w14:textId="77777777" w:rsidR="00B33EB1" w:rsidRDefault="00B33EB1" w:rsidP="00B33EB1">
      <w:pPr>
        <w:ind w:left="720"/>
      </w:pPr>
    </w:p>
    <w:p w14:paraId="68AD0C0F" w14:textId="77777777" w:rsidR="00B33EB1" w:rsidRDefault="00B33EB1" w:rsidP="00B33EB1">
      <w:pPr>
        <w:ind w:left="720"/>
      </w:pPr>
    </w:p>
    <w:p w14:paraId="145D5A0A" w14:textId="77777777" w:rsidR="00B33EB1" w:rsidRDefault="00B33EB1" w:rsidP="00B33EB1">
      <w:pPr>
        <w:ind w:left="720"/>
      </w:pPr>
    </w:p>
    <w:p w14:paraId="1A18EE61" w14:textId="77777777" w:rsidR="00B33EB1" w:rsidRDefault="00B33EB1" w:rsidP="00B33EB1">
      <w:pPr>
        <w:ind w:left="720"/>
      </w:pPr>
    </w:p>
    <w:p w14:paraId="606D1131" w14:textId="77777777" w:rsidR="00166C52" w:rsidRDefault="00166C52" w:rsidP="00166C52">
      <w:pPr>
        <w:jc w:val="center"/>
        <w:rPr>
          <w:b/>
          <w:bCs/>
          <w:i/>
          <w:iCs/>
          <w:color w:val="FF0000"/>
          <w:sz w:val="36"/>
          <w:szCs w:val="36"/>
        </w:rPr>
      </w:pPr>
      <w:r w:rsidRPr="00056E79">
        <w:rPr>
          <w:b/>
          <w:bCs/>
          <w:i/>
          <w:iCs/>
          <w:color w:val="FF0000"/>
          <w:sz w:val="36"/>
          <w:szCs w:val="36"/>
        </w:rPr>
        <w:t xml:space="preserve">Check your results with your instructor </w:t>
      </w:r>
      <w:r>
        <w:rPr>
          <w:b/>
          <w:bCs/>
          <w:i/>
          <w:iCs/>
          <w:color w:val="FF0000"/>
          <w:sz w:val="36"/>
          <w:szCs w:val="36"/>
        </w:rPr>
        <w:t>at this point</w:t>
      </w:r>
    </w:p>
    <w:p w14:paraId="79CA3F48" w14:textId="77777777" w:rsidR="00B33EB1" w:rsidRPr="00B33EB1" w:rsidRDefault="00B33EB1" w:rsidP="00166C52"/>
    <w:p w14:paraId="213CC92B" w14:textId="2C1B3AD8" w:rsidR="00CA2BFC" w:rsidRDefault="00313296" w:rsidP="00056E79">
      <w:r>
        <w:t xml:space="preserve">Sorting out which stars are members of the Pleiades from which ones </w:t>
      </w:r>
      <w:proofErr w:type="gramStart"/>
      <w:r>
        <w:t>are not is</w:t>
      </w:r>
      <w:proofErr w:type="gramEnd"/>
      <w:r>
        <w:t xml:space="preserve"> a bit tricky and complicated. </w:t>
      </w:r>
      <w:proofErr w:type="gramStart"/>
      <w:r>
        <w:t>So</w:t>
      </w:r>
      <w:proofErr w:type="gramEnd"/>
      <w:r>
        <w:t xml:space="preserve"> we aren’t going to pursue that question any further. Assume you put your graduate students to work on that part.</w:t>
      </w:r>
    </w:p>
    <w:p w14:paraId="70A4B192" w14:textId="77777777" w:rsidR="00313296" w:rsidRDefault="00313296" w:rsidP="00056E79"/>
    <w:p w14:paraId="36ABC5BE" w14:textId="708D3309" w:rsidR="00313296" w:rsidRDefault="00313296" w:rsidP="00056E79">
      <w:r>
        <w:t xml:space="preserve">There are </w:t>
      </w:r>
      <w:proofErr w:type="gramStart"/>
      <w:r>
        <w:t>actually several</w:t>
      </w:r>
      <w:proofErr w:type="gramEnd"/>
      <w:r>
        <w:t xml:space="preserve"> thousand stars in the Pleiades. The only data I could find for them is in a paper that is so old the pdf is just page images and I’ve not been up to the task of transcribing all of that. The spreadsheet Pleiades data.xlsx is the largest one I could find that was in an electronic format.</w:t>
      </w:r>
    </w:p>
    <w:p w14:paraId="731A208F" w14:textId="77777777" w:rsidR="00313296" w:rsidRDefault="00313296" w:rsidP="00056E79"/>
    <w:p w14:paraId="1AA47028" w14:textId="77777777" w:rsidR="00313296" w:rsidRDefault="00313296" w:rsidP="00056E79"/>
    <w:p w14:paraId="1D8AA4CD" w14:textId="67D31A11" w:rsidR="00313296" w:rsidRDefault="00313296" w:rsidP="00313296">
      <w:pPr>
        <w:ind w:left="720"/>
      </w:pPr>
      <w:r>
        <w:t>7. Make two HR diagrams, one from the HIP.csv spreadsheet and the other from the Pleiades data.xlsx one. What changes when you sort Pleiades stars from non-Pleiades stars?</w:t>
      </w:r>
    </w:p>
    <w:p w14:paraId="0064247B" w14:textId="77777777" w:rsidR="00313296" w:rsidRDefault="00313296" w:rsidP="00313296">
      <w:pPr>
        <w:ind w:left="720"/>
      </w:pPr>
    </w:p>
    <w:p w14:paraId="2AEDD3BD" w14:textId="77777777" w:rsidR="00313296" w:rsidRDefault="00313296" w:rsidP="00313296">
      <w:pPr>
        <w:ind w:left="720"/>
      </w:pPr>
    </w:p>
    <w:p w14:paraId="47D1B8B4" w14:textId="77777777" w:rsidR="00313296" w:rsidRDefault="00313296" w:rsidP="00313296">
      <w:pPr>
        <w:ind w:left="720"/>
      </w:pPr>
    </w:p>
    <w:p w14:paraId="63216AE7" w14:textId="77777777" w:rsidR="00313296" w:rsidRDefault="00313296" w:rsidP="00313296">
      <w:pPr>
        <w:ind w:left="720"/>
      </w:pPr>
    </w:p>
    <w:p w14:paraId="20E8F29D" w14:textId="77777777" w:rsidR="00313296" w:rsidRDefault="00313296" w:rsidP="00313296">
      <w:pPr>
        <w:ind w:left="720"/>
      </w:pPr>
    </w:p>
    <w:p w14:paraId="375308D0" w14:textId="0104F593" w:rsidR="00313296" w:rsidRDefault="00313296" w:rsidP="00313296">
      <w:pPr>
        <w:ind w:left="720"/>
      </w:pPr>
      <w:r>
        <w:t>8. Compare the Pleiades HR diagram to the one for all stars that you made in Classifying Stars II. What is different?</w:t>
      </w:r>
    </w:p>
    <w:p w14:paraId="60E264C1" w14:textId="77777777" w:rsidR="00313296" w:rsidRDefault="00313296" w:rsidP="00313296">
      <w:pPr>
        <w:ind w:left="720"/>
      </w:pPr>
    </w:p>
    <w:p w14:paraId="7DF41A06" w14:textId="77777777" w:rsidR="00313296" w:rsidRDefault="00313296" w:rsidP="00313296">
      <w:pPr>
        <w:ind w:left="720"/>
      </w:pPr>
    </w:p>
    <w:p w14:paraId="028DC91D" w14:textId="77777777" w:rsidR="00313296" w:rsidRDefault="00313296" w:rsidP="00313296">
      <w:pPr>
        <w:ind w:left="720"/>
      </w:pPr>
    </w:p>
    <w:p w14:paraId="1B37AEDD" w14:textId="77777777" w:rsidR="00313296" w:rsidRDefault="00313296" w:rsidP="00313296">
      <w:pPr>
        <w:ind w:left="720"/>
      </w:pPr>
    </w:p>
    <w:p w14:paraId="185DE356" w14:textId="77777777" w:rsidR="00313296" w:rsidRDefault="00313296" w:rsidP="00313296">
      <w:pPr>
        <w:ind w:left="720"/>
      </w:pPr>
    </w:p>
    <w:p w14:paraId="10CC4916" w14:textId="2F0B3612" w:rsidR="00313296" w:rsidRDefault="00313296" w:rsidP="00313296">
      <w:pPr>
        <w:ind w:left="720"/>
      </w:pPr>
      <w:r>
        <w:t>9. Thinking about your reading on star formation, how would you explain the difference?</w:t>
      </w:r>
    </w:p>
    <w:p w14:paraId="4000B3BA" w14:textId="77777777" w:rsidR="00313296" w:rsidRDefault="00313296" w:rsidP="00313296">
      <w:pPr>
        <w:ind w:left="720"/>
      </w:pPr>
    </w:p>
    <w:p w14:paraId="582515E4" w14:textId="77777777" w:rsidR="00313296" w:rsidRDefault="00313296" w:rsidP="00313296">
      <w:pPr>
        <w:ind w:left="720"/>
      </w:pPr>
    </w:p>
    <w:p w14:paraId="371DDB09" w14:textId="77777777" w:rsidR="00313296" w:rsidRDefault="00313296" w:rsidP="00313296">
      <w:pPr>
        <w:ind w:left="720"/>
      </w:pPr>
    </w:p>
    <w:p w14:paraId="3E4ADC1B" w14:textId="77777777" w:rsidR="00313296" w:rsidRDefault="00313296" w:rsidP="00313296">
      <w:pPr>
        <w:ind w:left="720"/>
      </w:pPr>
    </w:p>
    <w:p w14:paraId="443196B3" w14:textId="77777777" w:rsidR="00313296" w:rsidRDefault="00313296" w:rsidP="00313296">
      <w:pPr>
        <w:ind w:left="720"/>
      </w:pPr>
    </w:p>
    <w:p w14:paraId="6D7310D1" w14:textId="3C30B039" w:rsidR="00313296" w:rsidRDefault="00313296" w:rsidP="00313296">
      <w:r>
        <w:rPr>
          <w:b/>
          <w:bCs/>
          <w:i/>
          <w:iCs/>
        </w:rPr>
        <w:t>Questions</w:t>
      </w:r>
    </w:p>
    <w:p w14:paraId="2014F120" w14:textId="77777777" w:rsidR="00313296" w:rsidRDefault="00313296" w:rsidP="00313296"/>
    <w:p w14:paraId="7EFA4F3C" w14:textId="651B29A6" w:rsidR="00313296" w:rsidRDefault="00313296" w:rsidP="00313296">
      <w:r>
        <w:t>1. Crackpottery can sometimes be dressed up to give the appearance of science. The way flat-earthers treat parallax is a good example. Consider, for example, this:</w:t>
      </w:r>
    </w:p>
    <w:p w14:paraId="1A624471" w14:textId="77777777" w:rsidR="00313296" w:rsidRDefault="00313296" w:rsidP="00313296"/>
    <w:p w14:paraId="5A4C4AB7" w14:textId="6D220689" w:rsidR="00313296" w:rsidRDefault="00313296" w:rsidP="00313296">
      <w:hyperlink r:id="rId11" w:history="1">
        <w:r w:rsidRPr="00E237F9">
          <w:rPr>
            <w:rStyle w:val="Hyperlink"/>
          </w:rPr>
          <w:t>https://geocentric.fandom.com/wiki/Negative_Parallax_-_a_Problem_for_Heliocentrism</w:t>
        </w:r>
      </w:hyperlink>
    </w:p>
    <w:p w14:paraId="38C133FC" w14:textId="77777777" w:rsidR="00313296" w:rsidRDefault="00313296" w:rsidP="00313296"/>
    <w:p w14:paraId="3724B380" w14:textId="610491AD" w:rsidR="00313296" w:rsidRPr="00313296" w:rsidRDefault="00313296" w:rsidP="00313296">
      <w:r>
        <w:t xml:space="preserve">The phrase “bad measures” is doing a lot of heavy lifting in this argument. Think carefully about what you have learned about scientific measurements and </w:t>
      </w:r>
      <w:proofErr w:type="gramStart"/>
      <w:r>
        <w:t>uncertainty, and</w:t>
      </w:r>
      <w:proofErr w:type="gramEnd"/>
      <w:r>
        <w:t xml:space="preserve"> see if you can figure out the two major claims in this document that are wrong.</w:t>
      </w:r>
    </w:p>
    <w:p w14:paraId="06961F51" w14:textId="77777777" w:rsidR="00862D19" w:rsidRDefault="00862D19" w:rsidP="00056E79"/>
    <w:p w14:paraId="44E5A2A6" w14:textId="77777777" w:rsidR="00862D19" w:rsidRDefault="00862D19" w:rsidP="00056E79"/>
    <w:p w14:paraId="5E26A643" w14:textId="77777777" w:rsidR="00166C52" w:rsidRDefault="00166C52" w:rsidP="00056E79"/>
    <w:p w14:paraId="28A9CECC" w14:textId="77777777" w:rsidR="00166C52" w:rsidRDefault="00166C52" w:rsidP="00056E79"/>
    <w:p w14:paraId="64AFC213" w14:textId="77777777" w:rsidR="00166C52" w:rsidRDefault="00166C52" w:rsidP="00056E79"/>
    <w:p w14:paraId="27C663BF" w14:textId="77777777" w:rsidR="00166C52" w:rsidRDefault="00166C52" w:rsidP="00166C52">
      <w:pPr>
        <w:jc w:val="center"/>
        <w:rPr>
          <w:b/>
          <w:bCs/>
          <w:i/>
          <w:iCs/>
          <w:color w:val="FF0000"/>
          <w:sz w:val="36"/>
          <w:szCs w:val="36"/>
        </w:rPr>
      </w:pPr>
      <w:r w:rsidRPr="00056E79">
        <w:rPr>
          <w:b/>
          <w:bCs/>
          <w:i/>
          <w:iCs/>
          <w:color w:val="FF0000"/>
          <w:sz w:val="36"/>
          <w:szCs w:val="36"/>
        </w:rPr>
        <w:t xml:space="preserve">Check your results with your instructor </w:t>
      </w:r>
      <w:r>
        <w:rPr>
          <w:b/>
          <w:bCs/>
          <w:i/>
          <w:iCs/>
          <w:color w:val="FF0000"/>
          <w:sz w:val="36"/>
          <w:szCs w:val="36"/>
        </w:rPr>
        <w:t>at this point</w:t>
      </w:r>
    </w:p>
    <w:p w14:paraId="535CBCDE" w14:textId="77777777" w:rsidR="00166C52" w:rsidRDefault="00166C52" w:rsidP="00056E79"/>
    <w:sectPr w:rsidR="00166C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320485"/>
    <w:multiLevelType w:val="multilevel"/>
    <w:tmpl w:val="0CDA5A0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6C344A1C"/>
    <w:multiLevelType w:val="multilevel"/>
    <w:tmpl w:val="0CDA5A0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37844974">
    <w:abstractNumId w:val="0"/>
  </w:num>
  <w:num w:numId="2" w16cid:durableId="17650298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7BC"/>
    <w:rsid w:val="00056E79"/>
    <w:rsid w:val="000A6B3C"/>
    <w:rsid w:val="000B5269"/>
    <w:rsid w:val="000C2B03"/>
    <w:rsid w:val="00166C52"/>
    <w:rsid w:val="00221F82"/>
    <w:rsid w:val="00313296"/>
    <w:rsid w:val="00445C13"/>
    <w:rsid w:val="00492242"/>
    <w:rsid w:val="00536B35"/>
    <w:rsid w:val="005D506B"/>
    <w:rsid w:val="007F643A"/>
    <w:rsid w:val="00862D19"/>
    <w:rsid w:val="008A2975"/>
    <w:rsid w:val="008D230E"/>
    <w:rsid w:val="009E6DC8"/>
    <w:rsid w:val="00B2636F"/>
    <w:rsid w:val="00B33EB1"/>
    <w:rsid w:val="00B559AA"/>
    <w:rsid w:val="00B80DA6"/>
    <w:rsid w:val="00C85288"/>
    <w:rsid w:val="00C914C1"/>
    <w:rsid w:val="00CA2BFC"/>
    <w:rsid w:val="00CA3D65"/>
    <w:rsid w:val="00D761CC"/>
    <w:rsid w:val="00E3307B"/>
    <w:rsid w:val="00F777BC"/>
    <w:rsid w:val="00F80780"/>
    <w:rsid w:val="00FA690A"/>
    <w:rsid w:val="00FE29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3FBB1"/>
  <w15:chartTrackingRefBased/>
  <w15:docId w15:val="{06151E4B-93D3-4978-A082-22E31223D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heme="minorHAnsi" w:hAnsi="Garamond"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77B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21F8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77B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221F82"/>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221F82"/>
    <w:rPr>
      <w:color w:val="0000FF"/>
      <w:u w:val="single"/>
    </w:rPr>
  </w:style>
  <w:style w:type="table" w:styleId="TableGrid">
    <w:name w:val="Table Grid"/>
    <w:basedOn w:val="TableNormal"/>
    <w:uiPriority w:val="39"/>
    <w:rsid w:val="00B80D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D506B"/>
    <w:rPr>
      <w:color w:val="808080"/>
    </w:rPr>
  </w:style>
  <w:style w:type="character" w:styleId="UnresolvedMention">
    <w:name w:val="Unresolved Mention"/>
    <w:basedOn w:val="DefaultParagraphFont"/>
    <w:uiPriority w:val="99"/>
    <w:semiHidden/>
    <w:unhideWhenUsed/>
    <w:rsid w:val="00D761CC"/>
    <w:rPr>
      <w:color w:val="605E5C"/>
      <w:shd w:val="clear" w:color="auto" w:fill="E1DFDD"/>
    </w:rPr>
  </w:style>
  <w:style w:type="character" w:styleId="FollowedHyperlink">
    <w:name w:val="FollowedHyperlink"/>
    <w:basedOn w:val="DefaultParagraphFont"/>
    <w:uiPriority w:val="99"/>
    <w:semiHidden/>
    <w:unhideWhenUsed/>
    <w:rsid w:val="00D761CC"/>
    <w:rPr>
      <w:color w:val="954F72" w:themeColor="followedHyperlink"/>
      <w:u w:val="single"/>
    </w:rPr>
  </w:style>
  <w:style w:type="character" w:customStyle="1" w:styleId="hgkelc">
    <w:name w:val="hgkelc"/>
    <w:basedOn w:val="DefaultParagraphFont"/>
    <w:rsid w:val="00D761CC"/>
  </w:style>
  <w:style w:type="paragraph" w:styleId="ListParagraph">
    <w:name w:val="List Paragraph"/>
    <w:basedOn w:val="Normal"/>
    <w:uiPriority w:val="34"/>
    <w:qFormat/>
    <w:rsid w:val="008A2975"/>
    <w:pPr>
      <w:suppressAutoHyphens/>
      <w:spacing w:after="160" w:line="247" w:lineRule="auto"/>
      <w:ind w:left="360"/>
    </w:pPr>
    <w:rPr>
      <w:rFonts w:ascii="Calibri" w:eastAsia="Yu Mincho"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822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het.colorado.edu/sims/html/blackbody-spectrum/latest/blackbody-spectrum_en.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g"/><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geocentric.fandom.com/wiki/Negative_Parallax_-_a_Problem_for_Heliocentrism" TargetMode="Externa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s://www.cosmos.esa.int/web/hipparcos/java-tools/show-sky"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D22165DD25B30438B3BAF1EAE74857B" ma:contentTypeVersion="14" ma:contentTypeDescription="Create a new document." ma:contentTypeScope="" ma:versionID="6f6ef505a4006e4aaea8068cb4190881">
  <xsd:schema xmlns:xsd="http://www.w3.org/2001/XMLSchema" xmlns:xs="http://www.w3.org/2001/XMLSchema" xmlns:p="http://schemas.microsoft.com/office/2006/metadata/properties" xmlns:ns2="9403f49d-e00f-4d79-9caf-8f9c1726b710" xmlns:ns3="3dd33127-57d5-4e80-a4f7-5db6d5c7b804" targetNamespace="http://schemas.microsoft.com/office/2006/metadata/properties" ma:root="true" ma:fieldsID="89cee424c60902d1a3267369ab298faa" ns2:_="" ns3:_="">
    <xsd:import namespace="9403f49d-e00f-4d79-9caf-8f9c1726b710"/>
    <xsd:import namespace="3dd33127-57d5-4e80-a4f7-5db6d5c7b8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3f49d-e00f-4d79-9caf-8f9c1726b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7bbd82-a07b-43cc-adda-fdf53e5b0f3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d33127-57d5-4e80-a4f7-5db6d5c7b8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c07f8bcd-e7e3-4dd5-b3d7-8f9bec2a56a6}" ma:internalName="TaxCatchAll" ma:showField="CatchAllData" ma:web="3dd33127-57d5-4e80-a4f7-5db6d5c7b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403f49d-e00f-4d79-9caf-8f9c1726b710">
      <Terms xmlns="http://schemas.microsoft.com/office/infopath/2007/PartnerControls"/>
    </lcf76f155ced4ddcb4097134ff3c332f>
    <TaxCatchAll xmlns="3dd33127-57d5-4e80-a4f7-5db6d5c7b804" xsi:nil="true"/>
  </documentManagement>
</p:properties>
</file>

<file path=customXml/itemProps1.xml><?xml version="1.0" encoding="utf-8"?>
<ds:datastoreItem xmlns:ds="http://schemas.openxmlformats.org/officeDocument/2006/customXml" ds:itemID="{54E3EF0B-ABC5-4D46-9FA9-0AE169168346}">
  <ds:schemaRefs>
    <ds:schemaRef ds:uri="http://schemas.openxmlformats.org/officeDocument/2006/bibliography"/>
  </ds:schemaRefs>
</ds:datastoreItem>
</file>

<file path=customXml/itemProps2.xml><?xml version="1.0" encoding="utf-8"?>
<ds:datastoreItem xmlns:ds="http://schemas.openxmlformats.org/officeDocument/2006/customXml" ds:itemID="{82787DA1-2574-41CD-B77D-1A2CBE15C76D}"/>
</file>

<file path=customXml/itemProps3.xml><?xml version="1.0" encoding="utf-8"?>
<ds:datastoreItem xmlns:ds="http://schemas.openxmlformats.org/officeDocument/2006/customXml" ds:itemID="{468A7F41-1283-4D73-AB56-125F9405BCA1}"/>
</file>

<file path=customXml/itemProps4.xml><?xml version="1.0" encoding="utf-8"?>
<ds:datastoreItem xmlns:ds="http://schemas.openxmlformats.org/officeDocument/2006/customXml" ds:itemID="{8FC34EC7-8611-421E-832C-73C670D81023}"/>
</file>

<file path=docProps/app.xml><?xml version="1.0" encoding="utf-8"?>
<Properties xmlns="http://schemas.openxmlformats.org/officeDocument/2006/extended-properties" xmlns:vt="http://schemas.openxmlformats.org/officeDocument/2006/docPropsVTypes">
  <Template>Normal.dotm</Template>
  <TotalTime>178</TotalTime>
  <Pages>8</Pages>
  <Words>1584</Words>
  <Characters>9031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Camp</dc:creator>
  <cp:keywords/>
  <dc:description/>
  <cp:lastModifiedBy>Paul Camp</cp:lastModifiedBy>
  <cp:revision>8</cp:revision>
  <dcterms:created xsi:type="dcterms:W3CDTF">2023-10-30T18:32:00Z</dcterms:created>
  <dcterms:modified xsi:type="dcterms:W3CDTF">2025-06-06T20:44:00Z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0x010100BD22165DD25B30438B3BAF1EAE74857B</vt:lpwstr>
  </property>
</Properties>
</file>